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STUDENT INFORMATION</w:t>
      </w:r>
    </w:p>
    <w:p w:rsidR="00551D6C" w:rsidRPr="00602283" w:rsidRDefault="00551D6C" w:rsidP="00551D6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Name: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NAU ID: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NAU E-mail Address:</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Phone Number: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Term of Admission: </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Expected Graduation Term/Year: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Advisor: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rsidR="00551D6C" w:rsidRPr="00602283" w:rsidRDefault="00551D6C" w:rsidP="00551D6C">
            <w:pPr>
              <w:spacing w:before="120" w:line="360" w:lineRule="auto"/>
              <w:rPr>
                <w:rFonts w:ascii="Arial" w:hAnsi="Arial" w:cs="Arial"/>
                <w:sz w:val="20"/>
                <w:szCs w:val="20"/>
              </w:rPr>
            </w:pPr>
            <w:r w:rsidRPr="00602283">
              <w:rPr>
                <w:rFonts w:ascii="Arial" w:hAnsi="Arial" w:cs="Arial"/>
                <w:b/>
                <w:sz w:val="20"/>
                <w:szCs w:val="20"/>
              </w:rPr>
              <w:t>Required Credits for Degree Program: 30</w:t>
            </w:r>
          </w:p>
        </w:tc>
      </w:tr>
    </w:tbl>
    <w:p w:rsidR="00551D6C" w:rsidRDefault="00551D6C" w:rsidP="00551D6C">
      <w:pPr>
        <w:pStyle w:val="Heading1"/>
        <w:numPr>
          <w:ilvl w:val="0"/>
          <w:numId w:val="20"/>
        </w:numPr>
        <w:tabs>
          <w:tab w:val="left" w:pos="180"/>
        </w:tabs>
        <w:ind w:left="180" w:hanging="180"/>
        <w:rPr>
          <w:rFonts w:ascii="Arial" w:hAnsi="Arial" w:cs="Arial"/>
          <w:b/>
          <w:color w:val="auto"/>
          <w:sz w:val="20"/>
          <w:szCs w:val="20"/>
        </w:rPr>
      </w:pPr>
      <w:r w:rsidRPr="00602283">
        <w:rPr>
          <w:rFonts w:ascii="Arial" w:hAnsi="Arial" w:cs="Arial"/>
          <w:b/>
          <w:color w:val="auto"/>
          <w:sz w:val="20"/>
          <w:szCs w:val="20"/>
        </w:rPr>
        <w:t xml:space="preserve">Required Courses (12 units required): </w:t>
      </w:r>
    </w:p>
    <w:p w:rsidR="00F2583F" w:rsidRPr="00F2583F" w:rsidRDefault="00F2583F" w:rsidP="00F2583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551D6C">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591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History and Philosophy of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Research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692</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Instructional Management for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696</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School-Community Relations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AB7D2B" w:rsidRPr="00602283" w:rsidRDefault="00AB7D2B" w:rsidP="00CD63DE">
      <w:pPr>
        <w:pStyle w:val="NoSpacing"/>
        <w:rPr>
          <w:rFonts w:ascii="Arial" w:hAnsi="Arial" w:cs="Arial"/>
          <w:sz w:val="20"/>
          <w:szCs w:val="20"/>
        </w:rPr>
      </w:pPr>
    </w:p>
    <w:p w:rsidR="00551D6C" w:rsidRDefault="00551D6C" w:rsidP="00CD63DE">
      <w:pPr>
        <w:pStyle w:val="NoSpacing"/>
        <w:rPr>
          <w:rFonts w:ascii="Arial" w:hAnsi="Arial" w:cs="Arial"/>
          <w:sz w:val="20"/>
          <w:szCs w:val="20"/>
        </w:rPr>
      </w:pPr>
      <w:r w:rsidRPr="00602283">
        <w:rPr>
          <w:rFonts w:ascii="Arial" w:hAnsi="Arial" w:cs="Arial"/>
          <w:b/>
          <w:sz w:val="20"/>
          <w:szCs w:val="20"/>
        </w:rPr>
        <w:t>II. Educational Foundations (3</w:t>
      </w:r>
      <w:r w:rsidRPr="00602283">
        <w:rPr>
          <w:rFonts w:ascii="Arial" w:hAnsi="Arial" w:cs="Arial"/>
          <w:b/>
          <w:color w:val="FF0000"/>
          <w:sz w:val="20"/>
          <w:szCs w:val="20"/>
        </w:rPr>
        <w:t xml:space="preserve"> </w:t>
      </w:r>
      <w:r w:rsidRPr="00602283">
        <w:rPr>
          <w:rFonts w:ascii="Arial" w:hAnsi="Arial" w:cs="Arial"/>
          <w:b/>
          <w:sz w:val="20"/>
          <w:szCs w:val="20"/>
        </w:rPr>
        <w:t xml:space="preserve">hours required):  </w:t>
      </w:r>
      <w:r w:rsidRPr="00602283">
        <w:rPr>
          <w:rFonts w:ascii="Arial" w:hAnsi="Arial" w:cs="Arial"/>
          <w:sz w:val="20"/>
          <w:szCs w:val="20"/>
        </w:rPr>
        <w:t>Select one (1) course from the following courses.</w:t>
      </w:r>
    </w:p>
    <w:p w:rsidR="00F2583F" w:rsidRPr="00602283" w:rsidRDefault="00F2583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602283">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670</w:t>
            </w:r>
          </w:p>
        </w:tc>
        <w:tc>
          <w:tcPr>
            <w:tcW w:w="3200" w:type="dxa"/>
          </w:tcPr>
          <w:p w:rsidR="00602283" w:rsidRPr="00AB7D2B" w:rsidRDefault="00602283" w:rsidP="00602283">
            <w:pPr>
              <w:spacing w:before="60" w:after="60"/>
              <w:rPr>
                <w:sz w:val="20"/>
                <w:szCs w:val="20"/>
              </w:rPr>
            </w:pPr>
            <w:r>
              <w:rPr>
                <w:sz w:val="20"/>
                <w:szCs w:val="20"/>
              </w:rPr>
              <w:t>Philosophy of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671</w:t>
            </w:r>
          </w:p>
        </w:tc>
        <w:tc>
          <w:tcPr>
            <w:tcW w:w="3200" w:type="dxa"/>
          </w:tcPr>
          <w:p w:rsidR="00602283" w:rsidRPr="00CC1AB0" w:rsidRDefault="00602283" w:rsidP="00602283">
            <w:pPr>
              <w:spacing w:before="60"/>
              <w:rPr>
                <w:i/>
                <w:sz w:val="20"/>
                <w:szCs w:val="20"/>
              </w:rPr>
            </w:pPr>
            <w:r>
              <w:rPr>
                <w:sz w:val="20"/>
                <w:szCs w:val="20"/>
              </w:rPr>
              <w:t>History of American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672</w:t>
            </w:r>
          </w:p>
        </w:tc>
        <w:tc>
          <w:tcPr>
            <w:tcW w:w="3200" w:type="dxa"/>
          </w:tcPr>
          <w:p w:rsidR="00602283" w:rsidRPr="00CC1AB0" w:rsidRDefault="00602283" w:rsidP="00602283">
            <w:pPr>
              <w:spacing w:before="60" w:after="60"/>
              <w:rPr>
                <w:sz w:val="20"/>
                <w:szCs w:val="20"/>
              </w:rPr>
            </w:pPr>
            <w:r>
              <w:rPr>
                <w:sz w:val="20"/>
                <w:szCs w:val="20"/>
              </w:rPr>
              <w:t>Comparative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677</w:t>
            </w:r>
          </w:p>
        </w:tc>
        <w:tc>
          <w:tcPr>
            <w:tcW w:w="3200" w:type="dxa"/>
          </w:tcPr>
          <w:p w:rsidR="00602283" w:rsidRPr="00CC1AB0" w:rsidRDefault="00602283" w:rsidP="00602283">
            <w:pPr>
              <w:spacing w:before="60" w:after="60"/>
              <w:rPr>
                <w:sz w:val="20"/>
                <w:szCs w:val="20"/>
              </w:rPr>
            </w:pPr>
            <w:r>
              <w:rPr>
                <w:sz w:val="20"/>
                <w:szCs w:val="20"/>
              </w:rPr>
              <w:t>Educational Sociology</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rsidP="00551D6C">
      <w:pPr>
        <w:spacing w:before="120" w:after="120"/>
        <w:rPr>
          <w:rFonts w:ascii="Arial" w:hAnsi="Arial" w:cs="Arial"/>
          <w:sz w:val="20"/>
          <w:szCs w:val="20"/>
        </w:rPr>
      </w:pPr>
      <w:r w:rsidRPr="00602283">
        <w:rPr>
          <w:rFonts w:ascii="Arial" w:hAnsi="Arial" w:cs="Arial"/>
          <w:b/>
          <w:sz w:val="20"/>
          <w:szCs w:val="20"/>
        </w:rPr>
        <w:t>III.   Concentration Area (</w:t>
      </w:r>
      <w:r w:rsidRPr="00602283">
        <w:rPr>
          <w:rFonts w:ascii="Arial" w:hAnsi="Arial" w:cs="Arial"/>
          <w:b/>
          <w:color w:val="000000" w:themeColor="text1"/>
          <w:sz w:val="20"/>
          <w:szCs w:val="20"/>
        </w:rPr>
        <w:t>15 h</w:t>
      </w:r>
      <w:r w:rsidRPr="00602283">
        <w:rPr>
          <w:rFonts w:ascii="Arial" w:hAnsi="Arial" w:cs="Arial"/>
          <w:b/>
          <w:sz w:val="20"/>
          <w:szCs w:val="20"/>
        </w:rPr>
        <w:t xml:space="preserve">ours required):  </w:t>
      </w:r>
      <w:r w:rsidRPr="00602283">
        <w:rPr>
          <w:rFonts w:ascii="Arial" w:hAnsi="Arial"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p>
    <w:p w:rsidR="00551D6C" w:rsidRPr="00602283" w:rsidRDefault="00551D6C" w:rsidP="00551D6C">
      <w:pPr>
        <w:pStyle w:val="NoSpacing"/>
        <w:rPr>
          <w:rFonts w:ascii="Arial" w:hAnsi="Arial" w:cs="Arial"/>
          <w:sz w:val="20"/>
          <w:szCs w:val="20"/>
        </w:rPr>
      </w:pPr>
      <w:r w:rsidRPr="00602283">
        <w:rPr>
          <w:rFonts w:ascii="Arial" w:hAnsi="Arial"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rsidR="00551D6C" w:rsidRPr="00602283" w:rsidRDefault="00551D6C" w:rsidP="00551D6C">
      <w:pPr>
        <w:pStyle w:val="NoSpacing"/>
        <w:rPr>
          <w:rFonts w:ascii="Arial" w:hAnsi="Arial" w:cs="Arial"/>
          <w:sz w:val="12"/>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Please check one:</w:t>
      </w:r>
    </w:p>
    <w:bookmarkStart w:id="0" w:name="_GoBack"/>
    <w:p w:rsidR="00551D6C" w:rsidRPr="00602283" w:rsidRDefault="00551D6C" w:rsidP="00551D6C">
      <w:pPr>
        <w:pStyle w:val="NoSpacing"/>
        <w:jc w:val="center"/>
        <w:rPr>
          <w:rFonts w:ascii="Arial" w:hAnsi="Arial" w:cs="Arial"/>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760CEA">
        <w:rPr>
          <w:rFonts w:ascii="Arial" w:hAnsi="Arial" w:cs="Arial"/>
          <w:sz w:val="20"/>
          <w:szCs w:val="20"/>
        </w:rPr>
      </w:r>
      <w:r w:rsidR="00760CEA">
        <w:rPr>
          <w:rFonts w:ascii="Arial" w:hAnsi="Arial" w:cs="Arial"/>
          <w:sz w:val="20"/>
          <w:szCs w:val="20"/>
        </w:rPr>
        <w:fldChar w:fldCharType="separate"/>
      </w:r>
      <w:r w:rsidRPr="00602283">
        <w:rPr>
          <w:rFonts w:ascii="Arial" w:hAnsi="Arial" w:cs="Arial"/>
          <w:sz w:val="20"/>
          <w:szCs w:val="20"/>
        </w:rPr>
        <w:fldChar w:fldCharType="end"/>
      </w:r>
      <w:bookmarkEnd w:id="0"/>
      <w:r w:rsidRPr="00602283">
        <w:rPr>
          <w:rFonts w:ascii="Arial" w:hAnsi="Arial" w:cs="Arial"/>
          <w:sz w:val="20"/>
          <w:szCs w:val="20"/>
        </w:rPr>
        <w:t xml:space="preserve"> </w:t>
      </w:r>
      <w:r w:rsidRPr="00602283">
        <w:rPr>
          <w:rFonts w:ascii="Arial" w:hAnsi="Arial" w:cs="Arial"/>
          <w:b/>
          <w:sz w:val="20"/>
          <w:szCs w:val="20"/>
        </w:rPr>
        <w:t xml:space="preserve">Option 1 (30 hours) </w:t>
      </w:r>
      <w:r w:rsidRPr="00602283">
        <w:rPr>
          <w:rFonts w:ascii="Arial" w:hAnsi="Arial" w:cs="Arial"/>
          <w:sz w:val="20"/>
          <w:szCs w:val="20"/>
        </w:rPr>
        <w:t>Thesis &amp; Oral Defense</w:t>
      </w:r>
      <w:r w:rsidRPr="00602283">
        <w:rPr>
          <w:rFonts w:ascii="Arial" w:hAnsi="Arial" w:cs="Arial"/>
          <w:sz w:val="20"/>
          <w:szCs w:val="20"/>
        </w:rPr>
        <w:tab/>
      </w:r>
      <w:r w:rsidRPr="00602283">
        <w:rPr>
          <w:rFonts w:ascii="Arial" w:hAnsi="Arial" w:cs="Arial"/>
          <w:sz w:val="20"/>
          <w:szCs w:val="20"/>
        </w:rPr>
        <w:fldChar w:fldCharType="begin">
          <w:ffData>
            <w:name w:val="Check2"/>
            <w:enabled/>
            <w:calcOnExit w:val="0"/>
            <w:checkBox>
              <w:sizeAuto/>
              <w:default w:val="0"/>
            </w:checkBox>
          </w:ffData>
        </w:fldChar>
      </w:r>
      <w:r w:rsidRPr="00602283">
        <w:rPr>
          <w:rFonts w:ascii="Arial" w:hAnsi="Arial" w:cs="Arial"/>
          <w:sz w:val="20"/>
          <w:szCs w:val="20"/>
        </w:rPr>
        <w:instrText xml:space="preserve"> FORMCHECKBOX </w:instrText>
      </w:r>
      <w:r w:rsidR="00760CEA">
        <w:rPr>
          <w:rFonts w:ascii="Arial" w:hAnsi="Arial" w:cs="Arial"/>
          <w:sz w:val="20"/>
          <w:szCs w:val="20"/>
        </w:rPr>
      </w:r>
      <w:r w:rsidR="00760CEA">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2 (30 hours) </w:t>
      </w:r>
      <w:r w:rsidRPr="00602283">
        <w:rPr>
          <w:rFonts w:ascii="Arial" w:hAnsi="Arial" w:cs="Arial"/>
          <w:sz w:val="20"/>
          <w:szCs w:val="20"/>
        </w:rPr>
        <w:t>Final Oral Exam</w:t>
      </w:r>
    </w:p>
    <w:p w:rsidR="00551D6C" w:rsidRPr="00602283" w:rsidRDefault="00551D6C" w:rsidP="00551D6C">
      <w:pPr>
        <w:numPr>
          <w:ilvl w:val="0"/>
          <w:numId w:val="17"/>
        </w:numPr>
        <w:spacing w:before="120" w:after="120"/>
        <w:rPr>
          <w:rFonts w:ascii="Arial" w:hAnsi="Arial" w:cs="Arial"/>
          <w:sz w:val="20"/>
          <w:szCs w:val="20"/>
        </w:rPr>
      </w:pPr>
      <w:r w:rsidRPr="00602283">
        <w:rPr>
          <w:rFonts w:ascii="Arial" w:hAnsi="Arial" w:cs="Arial"/>
          <w:sz w:val="20"/>
          <w:szCs w:val="20"/>
        </w:rPr>
        <w:t xml:space="preserve">If you choose the thesis plan, you can only count 6 units of thesis credit toward your degree. However, you may end up taking more units because you must enroll for </w:t>
      </w:r>
      <w:hyperlink r:id="rId8" w:tgtFrame="_blank" w:history="1">
        <w:r w:rsidRPr="00602283">
          <w:rPr>
            <w:rFonts w:ascii="Arial" w:hAnsi="Arial" w:cs="Arial"/>
            <w:sz w:val="20"/>
            <w:szCs w:val="20"/>
          </w:rPr>
          <w:t>CTE 699</w:t>
        </w:r>
      </w:hyperlink>
      <w:r w:rsidRPr="00602283">
        <w:rPr>
          <w:rFonts w:ascii="Arial" w:hAnsi="Arial" w:cs="Arial"/>
          <w:sz w:val="20"/>
          <w:szCs w:val="20"/>
        </w:rPr>
        <w:t xml:space="preserve"> each term while you are working on your thesis.</w:t>
      </w:r>
    </w:p>
    <w:p w:rsidR="00551D6C" w:rsidRPr="00602283" w:rsidRDefault="00551D6C" w:rsidP="00551D6C">
      <w:pPr>
        <w:numPr>
          <w:ilvl w:val="0"/>
          <w:numId w:val="17"/>
        </w:numPr>
        <w:spacing w:before="120" w:after="120"/>
        <w:rPr>
          <w:rFonts w:ascii="Arial" w:hAnsi="Arial" w:cs="Arial"/>
          <w:b/>
          <w:sz w:val="20"/>
          <w:szCs w:val="20"/>
        </w:rPr>
      </w:pPr>
      <w:r w:rsidRPr="00602283">
        <w:rPr>
          <w:rFonts w:ascii="Arial" w:hAnsi="Arial" w:cs="Arial"/>
          <w:sz w:val="20"/>
          <w:szCs w:val="20"/>
        </w:rPr>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602283">
          <w:rPr>
            <w:rFonts w:ascii="Arial" w:hAnsi="Arial" w:cs="Arial"/>
            <w:sz w:val="20"/>
            <w:szCs w:val="20"/>
          </w:rPr>
          <w:t>CTE 591</w:t>
        </w:r>
      </w:hyperlink>
      <w:r w:rsidRPr="00602283">
        <w:rPr>
          <w:rFonts w:ascii="Arial" w:hAnsi="Arial" w:cs="Arial"/>
          <w:sz w:val="20"/>
          <w:szCs w:val="20"/>
        </w:rPr>
        <w:t xml:space="preserve">, </w:t>
      </w:r>
      <w:hyperlink r:id="rId10" w:tgtFrame="_blank" w:history="1">
        <w:r w:rsidRPr="00602283">
          <w:rPr>
            <w:rFonts w:ascii="Arial" w:hAnsi="Arial" w:cs="Arial"/>
            <w:sz w:val="20"/>
            <w:szCs w:val="20"/>
          </w:rPr>
          <w:t>CTE 691</w:t>
        </w:r>
      </w:hyperlink>
      <w:r w:rsidRPr="00602283">
        <w:rPr>
          <w:rFonts w:ascii="Arial" w:hAnsi="Arial" w:cs="Arial"/>
          <w:sz w:val="20"/>
          <w:szCs w:val="20"/>
        </w:rPr>
        <w:t xml:space="preserve">, </w:t>
      </w:r>
      <w:hyperlink r:id="rId11" w:tgtFrame="_blank" w:history="1">
        <w:r w:rsidRPr="00602283">
          <w:rPr>
            <w:rFonts w:ascii="Arial" w:hAnsi="Arial" w:cs="Arial"/>
            <w:sz w:val="20"/>
            <w:szCs w:val="20"/>
          </w:rPr>
          <w:t>CTE 692</w:t>
        </w:r>
      </w:hyperlink>
      <w:r w:rsidRPr="00602283">
        <w:rPr>
          <w:rFonts w:ascii="Arial" w:hAnsi="Arial" w:cs="Arial"/>
          <w:sz w:val="20"/>
          <w:szCs w:val="20"/>
        </w:rPr>
        <w:t xml:space="preserve">, and </w:t>
      </w:r>
      <w:hyperlink r:id="rId12" w:tgtFrame="_blank" w:history="1">
        <w:r w:rsidRPr="00602283">
          <w:rPr>
            <w:rFonts w:ascii="Arial" w:hAnsi="Arial" w:cs="Arial"/>
            <w:sz w:val="20"/>
            <w:szCs w:val="20"/>
          </w:rPr>
          <w:t>CTE 696</w:t>
        </w:r>
      </w:hyperlink>
      <w:r w:rsidRPr="00602283">
        <w:rPr>
          <w:rFonts w:ascii="Arial" w:hAnsi="Arial" w:cs="Arial"/>
          <w:sz w:val="20"/>
          <w:szCs w:val="20"/>
        </w:rPr>
        <w:t>).</w:t>
      </w:r>
    </w:p>
    <w:p w:rsidR="00551D6C" w:rsidRPr="00602283" w:rsidRDefault="00551D6C" w:rsidP="00551D6C">
      <w:pPr>
        <w:spacing w:before="120" w:after="120"/>
        <w:ind w:left="360"/>
        <w:rPr>
          <w:rFonts w:ascii="Arial" w:hAnsi="Arial" w:cs="Arial"/>
          <w:b/>
          <w:sz w:val="20"/>
          <w:szCs w:val="20"/>
        </w:rPr>
      </w:pPr>
      <w:r w:rsidRPr="00602283">
        <w:rPr>
          <w:rFonts w:ascii="Arial" w:hAnsi="Arial" w:cs="Arial"/>
          <w:sz w:val="20"/>
          <w:szCs w:val="20"/>
        </w:rPr>
        <w:lastRenderedPageBreak/>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760CEA">
        <w:rPr>
          <w:rFonts w:ascii="Arial" w:hAnsi="Arial" w:cs="Arial"/>
          <w:sz w:val="20"/>
          <w:szCs w:val="20"/>
        </w:rPr>
      </w:r>
      <w:r w:rsidR="00760CEA">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Check here if you are an Accelerated Bachelors/Master’s Student:  </w:t>
      </w:r>
    </w:p>
    <w:p w:rsidR="00551D6C" w:rsidRPr="00602283" w:rsidRDefault="00551D6C" w:rsidP="00551D6C">
      <w:pPr>
        <w:spacing w:before="120" w:after="120"/>
        <w:ind w:left="360"/>
        <w:rPr>
          <w:rFonts w:ascii="Arial" w:eastAsia="Times New Roman" w:hAnsi="Arial" w:cs="Arial"/>
          <w:sz w:val="20"/>
          <w:szCs w:val="20"/>
        </w:rPr>
      </w:pPr>
      <w:r w:rsidRPr="00602283">
        <w:rPr>
          <w:rFonts w:ascii="Arial" w:hAnsi="Arial" w:cs="Arial"/>
          <w:sz w:val="20"/>
          <w:szCs w:val="20"/>
        </w:rPr>
        <w:t>Accelerated</w:t>
      </w:r>
      <w:r w:rsidRPr="00602283">
        <w:rPr>
          <w:rFonts w:ascii="Arial" w:hAnsi="Arial" w:cs="Arial"/>
          <w:b/>
          <w:sz w:val="20"/>
          <w:szCs w:val="20"/>
        </w:rPr>
        <w:t xml:space="preserve"> </w:t>
      </w:r>
      <w:r w:rsidRPr="00602283">
        <w:rPr>
          <w:rFonts w:ascii="Arial" w:eastAsia="Times New Roman" w:hAnsi="Arial" w:cs="Arial"/>
          <w:sz w:val="20"/>
          <w:szCs w:val="20"/>
        </w:rPr>
        <w:t xml:space="preserve">students are permitted to use </w:t>
      </w:r>
      <w:r w:rsidRPr="00602283">
        <w:rPr>
          <w:rFonts w:ascii="Arial" w:eastAsia="Times New Roman" w:hAnsi="Arial" w:cs="Arial"/>
          <w:b/>
          <w:sz w:val="20"/>
          <w:szCs w:val="20"/>
        </w:rPr>
        <w:t xml:space="preserve">up to TWELVE </w:t>
      </w:r>
      <w:r w:rsidRPr="00602283">
        <w:rPr>
          <w:rFonts w:ascii="Arial" w:eastAsia="Times New Roman" w:hAnsi="Arial" w:cs="Arial"/>
          <w:sz w:val="20"/>
          <w:szCs w:val="20"/>
        </w:rPr>
        <w:t>credit hours of NAU CTE coursework to satisfy both the baccalaureate and master’s degree. These courses may include the following 400-level NAU CTE courses: CTE 401, CTE 431, CTE 496, or CTE 486 and any combination of NAU CTE prefix 500-level coursework, excluding CTE 591.</w:t>
      </w:r>
      <w:r w:rsidRPr="00602283">
        <w:rPr>
          <w:rFonts w:ascii="Arial" w:eastAsia="Times New Roman" w:hAnsi="Arial" w:cs="Arial"/>
          <w:bCs/>
          <w:sz w:val="20"/>
          <w:szCs w:val="20"/>
        </w:rPr>
        <w:t xml:space="preserve"> A maximum of six 400-level credit hours may be permitted. Courses completed during the baccalaureate career and used to satisfy both the baccalaureate and master’s degree requirements may only count towards the concentration area.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4E18F9">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9A404E" w:rsidRPr="00602283" w:rsidRDefault="009A404E" w:rsidP="00551D6C">
      <w:pPr>
        <w:spacing w:line="360" w:lineRule="auto"/>
        <w:rPr>
          <w:rFonts w:ascii="Arial" w:hAnsi="Arial" w:cs="Arial"/>
          <w:b/>
          <w:sz w:val="20"/>
          <w:szCs w:val="20"/>
        </w:rPr>
      </w:pPr>
      <w:r w:rsidRPr="00602283">
        <w:rPr>
          <w:rFonts w:ascii="Arial" w:hAnsi="Arial" w:cs="Arial"/>
          <w:b/>
          <w:sz w:val="20"/>
          <w:szCs w:val="20"/>
        </w:rPr>
        <w:t>ADDITIONAL INFORMATION</w:t>
      </w:r>
    </w:p>
    <w:p w:rsidR="0022615B" w:rsidRDefault="0022615B" w:rsidP="002261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2615B" w:rsidRDefault="0022615B" w:rsidP="009A404E">
      <w:pPr>
        <w:rPr>
          <w:rFonts w:ascii="Arial" w:hAnsi="Arial" w:cs="Arial"/>
          <w:sz w:val="20"/>
          <w:szCs w:val="20"/>
        </w:rPr>
      </w:pPr>
    </w:p>
    <w:p w:rsidR="009A404E" w:rsidRPr="00602283" w:rsidRDefault="009A404E" w:rsidP="009A404E">
      <w:pPr>
        <w:rPr>
          <w:rFonts w:ascii="Arial" w:hAnsi="Arial" w:cs="Arial"/>
          <w:i/>
          <w:iCs/>
          <w:color w:val="000000"/>
          <w:sz w:val="20"/>
          <w:szCs w:val="20"/>
        </w:rPr>
      </w:pPr>
      <w:r w:rsidRPr="0060228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A404E" w:rsidRPr="00602283" w:rsidRDefault="009A404E" w:rsidP="009A404E">
      <w:pPr>
        <w:pStyle w:val="NoSpacing"/>
        <w:rPr>
          <w:rFonts w:ascii="Arial" w:hAnsi="Arial" w:cs="Arial"/>
          <w:i/>
          <w:iCs/>
          <w:color w:val="000000"/>
          <w:sz w:val="2"/>
          <w:szCs w:val="20"/>
        </w:rPr>
      </w:pPr>
    </w:p>
    <w:p w:rsidR="0022615B" w:rsidRDefault="0022615B" w:rsidP="009A404E">
      <w:pPr>
        <w:pStyle w:val="NoSpacing"/>
        <w:rPr>
          <w:rFonts w:ascii="Arial" w:hAnsi="Arial" w:cs="Arial"/>
          <w:b/>
          <w:iCs/>
          <w:color w:val="000000"/>
          <w:sz w:val="20"/>
          <w:szCs w:val="20"/>
        </w:rPr>
      </w:pPr>
    </w:p>
    <w:p w:rsidR="009A404E" w:rsidRPr="00602283" w:rsidRDefault="009A404E" w:rsidP="009A404E">
      <w:pPr>
        <w:pStyle w:val="NoSpacing"/>
        <w:rPr>
          <w:rFonts w:ascii="Arial" w:hAnsi="Arial" w:cs="Arial"/>
          <w:b/>
          <w:iCs/>
          <w:color w:val="000000"/>
          <w:sz w:val="20"/>
          <w:szCs w:val="20"/>
        </w:rPr>
      </w:pPr>
      <w:r w:rsidRPr="00602283">
        <w:rPr>
          <w:rFonts w:ascii="Arial" w:hAnsi="Arial" w:cs="Arial"/>
          <w:b/>
          <w:iCs/>
          <w:color w:val="000000"/>
          <w:sz w:val="20"/>
          <w:szCs w:val="20"/>
        </w:rPr>
        <w:t>Students:</w:t>
      </w:r>
    </w:p>
    <w:p w:rsidR="009A404E" w:rsidRPr="00602283" w:rsidRDefault="009A404E" w:rsidP="009A404E">
      <w:pPr>
        <w:pStyle w:val="NoSpacing"/>
        <w:rPr>
          <w:rFonts w:ascii="Arial" w:hAnsi="Arial" w:cs="Arial"/>
          <w:iCs/>
          <w:color w:val="000000"/>
          <w:sz w:val="20"/>
          <w:szCs w:val="20"/>
        </w:rPr>
      </w:pPr>
      <w:r w:rsidRPr="00602283">
        <w:rPr>
          <w:rFonts w:ascii="Arial" w:hAnsi="Arial" w:cs="Arial"/>
          <w:iCs/>
          <w:color w:val="000000"/>
          <w:sz w:val="20"/>
          <w:szCs w:val="20"/>
        </w:rPr>
        <w:t>You must secure official approval by your advisor and Department Chair/Director before submitting the final Program of Study.</w:t>
      </w:r>
    </w:p>
    <w:p w:rsidR="009A404E" w:rsidRPr="00602283" w:rsidRDefault="009A404E" w:rsidP="009A404E">
      <w:pPr>
        <w:pStyle w:val="NoSpacing"/>
        <w:rPr>
          <w:rFonts w:ascii="Arial" w:hAnsi="Arial" w:cs="Arial"/>
          <w:sz w:val="6"/>
          <w:szCs w:val="20"/>
        </w:rPr>
      </w:pPr>
    </w:p>
    <w:p w:rsidR="009A404E" w:rsidRPr="00602283" w:rsidRDefault="009A404E" w:rsidP="009A404E">
      <w:pPr>
        <w:pStyle w:val="NoSpacing"/>
        <w:rPr>
          <w:rFonts w:ascii="Arial" w:hAnsi="Arial" w:cs="Arial"/>
          <w:sz w:val="20"/>
          <w:szCs w:val="20"/>
        </w:rPr>
      </w:pPr>
      <w:r w:rsidRPr="00602283">
        <w:rPr>
          <w:rFonts w:ascii="Arial" w:hAnsi="Arial" w:cs="Arial"/>
          <w:sz w:val="20"/>
          <w:szCs w:val="20"/>
        </w:rPr>
        <w:t>By signing or entering your name below, you agree to the following statement:</w:t>
      </w:r>
    </w:p>
    <w:p w:rsidR="009A404E" w:rsidRPr="00602283" w:rsidRDefault="009A404E" w:rsidP="009A404E">
      <w:pPr>
        <w:pStyle w:val="NoSpacing"/>
        <w:rPr>
          <w:rFonts w:ascii="Arial" w:hAnsi="Arial" w:cs="Arial"/>
          <w:i/>
          <w:iCs/>
          <w:color w:val="000000"/>
          <w:sz w:val="20"/>
          <w:szCs w:val="20"/>
        </w:rPr>
      </w:pPr>
      <w:r w:rsidRPr="0060228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A404E" w:rsidRPr="00602283" w:rsidRDefault="009A404E" w:rsidP="009A404E">
      <w:pPr>
        <w:pStyle w:val="NoSpacing"/>
        <w:rPr>
          <w:rFonts w:asciiTheme="minorHAnsi" w:hAnsiTheme="minorHAnsi"/>
          <w:iCs/>
          <w:color w:val="000000"/>
          <w:sz w:val="8"/>
        </w:rPr>
      </w:pPr>
    </w:p>
    <w:p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w:t>
      </w:r>
      <w:r w:rsidR="00F2583F">
        <w:rPr>
          <w:rFonts w:asciiTheme="minorHAnsi" w:hAnsiTheme="minorHAnsi"/>
          <w:iCs/>
          <w:color w:val="000000"/>
        </w:rPr>
        <w:t xml:space="preserve">formal </w:t>
      </w:r>
      <w:r>
        <w:rPr>
          <w:rFonts w:asciiTheme="minorHAnsi" w:hAnsiTheme="minorHAnsi"/>
          <w:iCs/>
          <w:color w:val="000000"/>
        </w:rPr>
        <w:t>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rsidTr="00551D6C">
        <w:trPr>
          <w:trHeight w:val="432"/>
        </w:trPr>
        <w:tc>
          <w:tcPr>
            <w:tcW w:w="8715" w:type="dxa"/>
            <w:shd w:val="clear" w:color="auto" w:fill="auto"/>
            <w:vAlign w:val="center"/>
          </w:tcPr>
          <w:p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rsidR="00FF2A6C" w:rsidRPr="00602283" w:rsidRDefault="00FF2A6C" w:rsidP="00144BA5">
      <w:pPr>
        <w:pStyle w:val="NoSpacing"/>
        <w:rPr>
          <w:b/>
          <w:sz w:val="6"/>
          <w:szCs w:val="20"/>
        </w:rPr>
      </w:pPr>
    </w:p>
    <w:p w:rsidR="00551D6C" w:rsidRPr="000A4E9C" w:rsidRDefault="00551D6C" w:rsidP="00551D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sectPr w:rsidR="009609B7" w:rsidSect="002A5763">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EC" w:rsidRDefault="007466EC" w:rsidP="00392B1B">
      <w:r>
        <w:separator/>
      </w:r>
    </w:p>
  </w:endnote>
  <w:endnote w:type="continuationSeparator" w:id="0">
    <w:p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551D6C" w:rsidP="00551D6C">
    <w:pPr>
      <w:pStyle w:val="NoSpacing"/>
    </w:pPr>
    <w:r w:rsidRPr="00CC1AB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7466E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EC" w:rsidRDefault="007466EC" w:rsidP="00392B1B">
      <w:r>
        <w:separator/>
      </w:r>
    </w:p>
  </w:footnote>
  <w:footnote w:type="continuationSeparator" w:id="0">
    <w:p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rsidTr="003768C2">
      <w:trPr>
        <w:jc w:val="center"/>
      </w:trPr>
      <w:tc>
        <w:tcPr>
          <w:tcW w:w="11016" w:type="dxa"/>
        </w:tcPr>
        <w:p w:rsidR="007466EC" w:rsidRDefault="00F2583F" w:rsidP="00F40ACA">
          <w:pPr>
            <w:jc w:val="center"/>
            <w:rPr>
              <w:rFonts w:ascii="Arial" w:hAnsi="Arial" w:cs="Arial"/>
              <w:sz w:val="12"/>
            </w:rPr>
          </w:pPr>
          <w:r w:rsidRPr="00F2583F">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466EC" w:rsidRPr="007D47A0" w:rsidRDefault="007466EC" w:rsidP="00F40ACA">
          <w:pPr>
            <w:jc w:val="center"/>
            <w:rPr>
              <w:rFonts w:ascii="Arial" w:hAnsi="Arial" w:cs="Arial"/>
              <w:sz w:val="12"/>
            </w:rPr>
          </w:pPr>
        </w:p>
      </w:tc>
    </w:tr>
  </w:tbl>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rsidR="007466EC" w:rsidRPr="00CC1AB0" w:rsidRDefault="007466EC" w:rsidP="00392B1B">
    <w:pPr>
      <w:pStyle w:val="Header"/>
      <w:jc w:val="center"/>
      <w:rPr>
        <w:rFonts w:cs="Arial"/>
        <w:smallCaps/>
        <w:sz w:val="32"/>
      </w:rPr>
    </w:pPr>
    <w:r>
      <w:rPr>
        <w:rFonts w:cs="Arial"/>
        <w:smallCaps/>
        <w:sz w:val="32"/>
      </w:rPr>
      <w:t>Program of Study (</w:t>
    </w:r>
    <w:r w:rsidR="00551D6C">
      <w:rPr>
        <w:rFonts w:cs="Arial"/>
        <w:smallCaps/>
        <w:sz w:val="32"/>
      </w:rPr>
      <w:t>20</w:t>
    </w:r>
    <w:r w:rsidR="00760CEA">
      <w:rPr>
        <w:rFonts w:cs="Arial"/>
        <w:smallCaps/>
        <w:sz w:val="32"/>
      </w:rPr>
      <w:t>20-21)</w:t>
    </w:r>
  </w:p>
  <w:p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0"/>
  </w:num>
  <w:num w:numId="18">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iot1O5tx/5M0VAssLsLwdnxudG5cgjoPWdHCdJ7GJ/gksm6hgNOjIZ7QwWD4pXQJ7cZIl7jCR1jzM16x1ttQ==" w:salt="PkhGbGyUf3d2CRezNaCS1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1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D70"/>
    <w:rsid w:val="00525433"/>
    <w:rsid w:val="00526BB6"/>
    <w:rsid w:val="00531FF5"/>
    <w:rsid w:val="005336CC"/>
    <w:rsid w:val="00535069"/>
    <w:rsid w:val="00535BC1"/>
    <w:rsid w:val="005403BD"/>
    <w:rsid w:val="00540E11"/>
    <w:rsid w:val="00543149"/>
    <w:rsid w:val="00543594"/>
    <w:rsid w:val="00543BA9"/>
    <w:rsid w:val="00547558"/>
    <w:rsid w:val="0054790B"/>
    <w:rsid w:val="00551D6C"/>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283"/>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0CEA"/>
    <w:rsid w:val="007619A1"/>
    <w:rsid w:val="00762CF7"/>
    <w:rsid w:val="007635F3"/>
    <w:rsid w:val="00763673"/>
    <w:rsid w:val="00765C9F"/>
    <w:rsid w:val="00772230"/>
    <w:rsid w:val="007857E6"/>
    <w:rsid w:val="00791736"/>
    <w:rsid w:val="00791FEB"/>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83F"/>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2DA"/>
    <w:rsid w:val="00FE37C4"/>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B23B7F"/>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51D6C"/>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D6C"/>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1D6C"/>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D6C"/>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1D6C"/>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1D6C"/>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1D6C"/>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1D6C"/>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D6C"/>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 w:type="character" w:customStyle="1" w:styleId="Heading1Char">
    <w:name w:val="Heading 1 Char"/>
    <w:basedOn w:val="DefaultParagraphFont"/>
    <w:link w:val="Heading1"/>
    <w:uiPriority w:val="9"/>
    <w:rsid w:val="00551D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51D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D6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51D6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51D6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51D6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51D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D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 w:id="1153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atalog.nau.edu/Courses/course?courseId=001858&amp;catalogYear=1314" TargetMode="Externa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AC1B-FC9F-460A-9D15-BE25431B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2020-04-02T18:19:00Z</dcterms:created>
  <dcterms:modified xsi:type="dcterms:W3CDTF">2020-04-02T18:20:00Z</dcterms:modified>
</cp:coreProperties>
</file>