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CC228" w14:textId="77777777" w:rsidR="00592C86" w:rsidRDefault="00592C86">
      <w:pPr>
        <w:pStyle w:val="BodyText"/>
        <w:spacing w:before="8"/>
        <w:rPr>
          <w:rFonts w:ascii="Times New Roman"/>
          <w:sz w:val="20"/>
        </w:rPr>
      </w:pPr>
    </w:p>
    <w:p w14:paraId="4F1CC229" w14:textId="77777777" w:rsidR="00592C86" w:rsidRDefault="00000000">
      <w:pPr>
        <w:spacing w:before="94"/>
        <w:ind w:left="2433" w:right="109" w:firstLine="1798"/>
        <w:jc w:val="right"/>
        <w:rPr>
          <w:sz w:val="21"/>
        </w:rPr>
      </w:pPr>
      <w:r>
        <w:rPr>
          <w:noProof/>
        </w:rPr>
        <w:drawing>
          <wp:anchor distT="0" distB="0" distL="0" distR="0" simplePos="0" relativeHeight="251657216" behindDoc="0" locked="0" layoutInCell="1" allowOverlap="1" wp14:anchorId="4F1CC2A1" wp14:editId="4F1CC2A2">
            <wp:simplePos x="0" y="0"/>
            <wp:positionH relativeFrom="page">
              <wp:posOffset>731519</wp:posOffset>
            </wp:positionH>
            <wp:positionV relativeFrom="paragraph">
              <wp:posOffset>-149620</wp:posOffset>
            </wp:positionV>
            <wp:extent cx="1261694" cy="8959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61694" cy="895984"/>
                    </a:xfrm>
                    <a:prstGeom prst="rect">
                      <a:avLst/>
                    </a:prstGeom>
                  </pic:spPr>
                </pic:pic>
              </a:graphicData>
            </a:graphic>
          </wp:anchor>
        </w:drawing>
      </w:r>
      <w:r>
        <w:rPr>
          <w:sz w:val="21"/>
        </w:rPr>
        <w:t>Responsible Executive: Provost and Vice President Enrollment Management Responsible Office: Registrar and University Admissions Processing</w:t>
      </w:r>
    </w:p>
    <w:p w14:paraId="4F1CC22A" w14:textId="77777777" w:rsidR="00592C86" w:rsidRDefault="00000000">
      <w:pPr>
        <w:ind w:left="7803" w:right="105" w:hanging="94"/>
        <w:jc w:val="right"/>
        <w:rPr>
          <w:sz w:val="21"/>
        </w:rPr>
      </w:pPr>
      <w:r>
        <w:rPr>
          <w:sz w:val="21"/>
        </w:rPr>
        <w:t>Effective Date: 8/26/2024 Last Revised: 6/24/2023</w:t>
      </w:r>
    </w:p>
    <w:p w14:paraId="4F1CC22B" w14:textId="77777777" w:rsidR="00592C86" w:rsidRDefault="00000000">
      <w:pPr>
        <w:pStyle w:val="BodyText"/>
        <w:spacing w:before="3"/>
        <w:rPr>
          <w:sz w:val="25"/>
        </w:rPr>
      </w:pPr>
      <w:r>
        <w:pict w14:anchorId="4F1CC2A3">
          <v:line id="_x0000_s2050" style="position:absolute;z-index:251658240;mso-wrap-distance-left:0;mso-wrap-distance-right:0;mso-position-horizontal-relative:page" from="57pt,17pt" to="553.8pt,17pt" strokecolor="#171f40" strokeweight="1pt">
            <w10:wrap type="topAndBottom" anchorx="page"/>
          </v:line>
        </w:pict>
      </w:r>
    </w:p>
    <w:p w14:paraId="4F1CC22C" w14:textId="77777777" w:rsidR="00592C86" w:rsidRDefault="00592C86">
      <w:pPr>
        <w:pStyle w:val="BodyText"/>
        <w:spacing w:before="1"/>
        <w:rPr>
          <w:sz w:val="23"/>
        </w:rPr>
      </w:pPr>
    </w:p>
    <w:p w14:paraId="4F1CC22D" w14:textId="77777777" w:rsidR="00592C86" w:rsidRDefault="00000000">
      <w:pPr>
        <w:spacing w:before="92" w:line="273" w:lineRule="auto"/>
        <w:ind w:left="3140" w:right="2842" w:hanging="1314"/>
        <w:rPr>
          <w:b/>
          <w:sz w:val="28"/>
        </w:rPr>
      </w:pPr>
      <w:r>
        <w:rPr>
          <w:b/>
          <w:sz w:val="28"/>
        </w:rPr>
        <w:t>Western Undergraduate Exchange (WUE) Program and Policies</w:t>
      </w:r>
    </w:p>
    <w:p w14:paraId="4F1CC22E" w14:textId="77777777" w:rsidR="00592C86" w:rsidRDefault="00592C86">
      <w:pPr>
        <w:pStyle w:val="BodyText"/>
        <w:spacing w:before="11"/>
        <w:rPr>
          <w:b/>
          <w:sz w:val="43"/>
        </w:rPr>
      </w:pPr>
    </w:p>
    <w:p w14:paraId="4F1CC22F" w14:textId="77777777" w:rsidR="00592C86" w:rsidRDefault="00000000">
      <w:pPr>
        <w:pStyle w:val="Heading2"/>
        <w:ind w:left="132"/>
      </w:pPr>
      <w:r>
        <w:rPr>
          <w:color w:val="172755"/>
          <w:sz w:val="28"/>
        </w:rPr>
        <w:t>P</w:t>
      </w:r>
      <w:r>
        <w:rPr>
          <w:color w:val="172755"/>
        </w:rPr>
        <w:t xml:space="preserve">OLICY </w:t>
      </w:r>
      <w:r>
        <w:rPr>
          <w:color w:val="172755"/>
          <w:sz w:val="28"/>
        </w:rPr>
        <w:t>S</w:t>
      </w:r>
      <w:r>
        <w:rPr>
          <w:color w:val="172755"/>
        </w:rPr>
        <w:t>UMMARY</w:t>
      </w:r>
    </w:p>
    <w:p w14:paraId="4F1CC230" w14:textId="77777777" w:rsidR="00592C86" w:rsidRDefault="00000000">
      <w:pPr>
        <w:spacing w:before="230"/>
        <w:ind w:left="132" w:right="234"/>
        <w:rPr>
          <w:sz w:val="20"/>
        </w:rPr>
      </w:pPr>
      <w:r>
        <w:rPr>
          <w:sz w:val="20"/>
        </w:rPr>
        <w:t>The Western Undergraduate (WUE) Exchange Policy is an agreement among specific western states to offer a discounted tuition rate to students from these states.</w:t>
      </w:r>
    </w:p>
    <w:p w14:paraId="4F1CC231" w14:textId="77777777" w:rsidR="00592C86" w:rsidRDefault="00592C86">
      <w:pPr>
        <w:pStyle w:val="BodyText"/>
        <w:spacing w:before="4"/>
        <w:rPr>
          <w:sz w:val="23"/>
        </w:rPr>
      </w:pPr>
    </w:p>
    <w:p w14:paraId="4F1CC232" w14:textId="77777777" w:rsidR="00592C86" w:rsidRDefault="00000000">
      <w:pPr>
        <w:pStyle w:val="Heading2"/>
        <w:ind w:left="132"/>
      </w:pPr>
      <w:r>
        <w:rPr>
          <w:color w:val="172755"/>
          <w:sz w:val="28"/>
        </w:rPr>
        <w:t>R</w:t>
      </w:r>
      <w:r>
        <w:rPr>
          <w:color w:val="172755"/>
        </w:rPr>
        <w:t xml:space="preserve">EASON </w:t>
      </w:r>
      <w:r>
        <w:rPr>
          <w:color w:val="172755"/>
          <w:sz w:val="28"/>
        </w:rPr>
        <w:t>F</w:t>
      </w:r>
      <w:r>
        <w:rPr>
          <w:color w:val="172755"/>
        </w:rPr>
        <w:t xml:space="preserve">OR </w:t>
      </w:r>
      <w:r>
        <w:rPr>
          <w:color w:val="172755"/>
          <w:sz w:val="28"/>
        </w:rPr>
        <w:t>T</w:t>
      </w:r>
      <w:r>
        <w:rPr>
          <w:color w:val="172755"/>
        </w:rPr>
        <w:t xml:space="preserve">HIS </w:t>
      </w:r>
      <w:r>
        <w:rPr>
          <w:color w:val="172755"/>
          <w:sz w:val="28"/>
        </w:rPr>
        <w:t>P</w:t>
      </w:r>
      <w:r>
        <w:rPr>
          <w:color w:val="172755"/>
        </w:rPr>
        <w:t>OLICY</w:t>
      </w:r>
    </w:p>
    <w:p w14:paraId="4F1CC233" w14:textId="77777777" w:rsidR="00592C86" w:rsidRDefault="00000000">
      <w:pPr>
        <w:spacing w:before="230"/>
        <w:ind w:left="132"/>
        <w:rPr>
          <w:sz w:val="20"/>
        </w:rPr>
      </w:pPr>
      <w:r>
        <w:rPr>
          <w:sz w:val="20"/>
        </w:rPr>
        <w:t>This policy sets forth the NAU policy and procedures for receiving and maintaining the tuition rate.</w:t>
      </w:r>
    </w:p>
    <w:p w14:paraId="4F1CC234" w14:textId="77777777" w:rsidR="00592C86" w:rsidRDefault="00592C86">
      <w:pPr>
        <w:pStyle w:val="BodyText"/>
      </w:pPr>
    </w:p>
    <w:p w14:paraId="4F1CC235" w14:textId="77777777" w:rsidR="00592C86" w:rsidRDefault="00592C86">
      <w:pPr>
        <w:pStyle w:val="BodyText"/>
        <w:spacing w:before="4"/>
        <w:rPr>
          <w:sz w:val="21"/>
        </w:rPr>
      </w:pPr>
    </w:p>
    <w:p w14:paraId="4F1CC236" w14:textId="77777777" w:rsidR="00592C86" w:rsidRDefault="00000000">
      <w:pPr>
        <w:pStyle w:val="Heading2"/>
        <w:ind w:left="132"/>
      </w:pPr>
      <w:r>
        <w:rPr>
          <w:color w:val="172755"/>
          <w:sz w:val="28"/>
        </w:rPr>
        <w:t>E</w:t>
      </w:r>
      <w:r>
        <w:rPr>
          <w:color w:val="172755"/>
        </w:rPr>
        <w:t xml:space="preserve">NTITIES </w:t>
      </w:r>
      <w:r>
        <w:rPr>
          <w:color w:val="172755"/>
          <w:sz w:val="28"/>
        </w:rPr>
        <w:t>A</w:t>
      </w:r>
      <w:r>
        <w:rPr>
          <w:color w:val="172755"/>
        </w:rPr>
        <w:t xml:space="preserve">FFECTED </w:t>
      </w:r>
      <w:r>
        <w:rPr>
          <w:color w:val="172755"/>
          <w:sz w:val="28"/>
        </w:rPr>
        <w:t>B</w:t>
      </w:r>
      <w:r>
        <w:rPr>
          <w:color w:val="172755"/>
        </w:rPr>
        <w:t xml:space="preserve">Y </w:t>
      </w:r>
      <w:r>
        <w:rPr>
          <w:color w:val="172755"/>
          <w:sz w:val="28"/>
        </w:rPr>
        <w:t>T</w:t>
      </w:r>
      <w:r>
        <w:rPr>
          <w:color w:val="172755"/>
        </w:rPr>
        <w:t xml:space="preserve">HIS </w:t>
      </w:r>
      <w:r>
        <w:rPr>
          <w:color w:val="172755"/>
          <w:sz w:val="28"/>
        </w:rPr>
        <w:t>P</w:t>
      </w:r>
      <w:r>
        <w:rPr>
          <w:color w:val="172755"/>
        </w:rPr>
        <w:t>OLICY</w:t>
      </w:r>
    </w:p>
    <w:p w14:paraId="4F1CC237" w14:textId="77777777" w:rsidR="00592C86" w:rsidRDefault="00000000">
      <w:pPr>
        <w:pStyle w:val="ListParagraph"/>
        <w:numPr>
          <w:ilvl w:val="0"/>
          <w:numId w:val="3"/>
        </w:numPr>
        <w:tabs>
          <w:tab w:val="left" w:pos="852"/>
          <w:tab w:val="left" w:pos="853"/>
        </w:tabs>
        <w:spacing w:before="231" w:line="245" w:lineRule="exact"/>
        <w:rPr>
          <w:sz w:val="20"/>
        </w:rPr>
      </w:pPr>
      <w:r>
        <w:rPr>
          <w:sz w:val="20"/>
        </w:rPr>
        <w:t>Office of the</w:t>
      </w:r>
      <w:r>
        <w:rPr>
          <w:spacing w:val="-8"/>
          <w:sz w:val="20"/>
        </w:rPr>
        <w:t xml:space="preserve"> </w:t>
      </w:r>
      <w:r>
        <w:rPr>
          <w:sz w:val="20"/>
        </w:rPr>
        <w:t>Registrar</w:t>
      </w:r>
    </w:p>
    <w:p w14:paraId="4F1CC238" w14:textId="77777777" w:rsidR="00592C86" w:rsidRDefault="00000000">
      <w:pPr>
        <w:pStyle w:val="ListParagraph"/>
        <w:numPr>
          <w:ilvl w:val="0"/>
          <w:numId w:val="3"/>
        </w:numPr>
        <w:tabs>
          <w:tab w:val="left" w:pos="852"/>
          <w:tab w:val="left" w:pos="853"/>
        </w:tabs>
        <w:rPr>
          <w:sz w:val="20"/>
        </w:rPr>
      </w:pPr>
      <w:r>
        <w:rPr>
          <w:sz w:val="20"/>
        </w:rPr>
        <w:t>Enrollment</w:t>
      </w:r>
      <w:r>
        <w:rPr>
          <w:spacing w:val="-8"/>
          <w:sz w:val="20"/>
        </w:rPr>
        <w:t xml:space="preserve"> </w:t>
      </w:r>
      <w:r>
        <w:rPr>
          <w:sz w:val="20"/>
        </w:rPr>
        <w:t>Management</w:t>
      </w:r>
    </w:p>
    <w:p w14:paraId="4F1CC239" w14:textId="77777777" w:rsidR="00592C86" w:rsidRDefault="00000000">
      <w:pPr>
        <w:pStyle w:val="ListParagraph"/>
        <w:numPr>
          <w:ilvl w:val="0"/>
          <w:numId w:val="3"/>
        </w:numPr>
        <w:tabs>
          <w:tab w:val="left" w:pos="852"/>
          <w:tab w:val="left" w:pos="853"/>
        </w:tabs>
        <w:rPr>
          <w:sz w:val="20"/>
        </w:rPr>
      </w:pPr>
      <w:r>
        <w:rPr>
          <w:sz w:val="20"/>
        </w:rPr>
        <w:t>University</w:t>
      </w:r>
      <w:r>
        <w:rPr>
          <w:spacing w:val="-6"/>
          <w:sz w:val="20"/>
        </w:rPr>
        <w:t xml:space="preserve"> </w:t>
      </w:r>
      <w:r>
        <w:rPr>
          <w:sz w:val="20"/>
        </w:rPr>
        <w:t>Advising</w:t>
      </w:r>
    </w:p>
    <w:p w14:paraId="4F1CC23A" w14:textId="77777777" w:rsidR="00592C86" w:rsidRDefault="00000000">
      <w:pPr>
        <w:pStyle w:val="ListParagraph"/>
        <w:numPr>
          <w:ilvl w:val="0"/>
          <w:numId w:val="3"/>
        </w:numPr>
        <w:tabs>
          <w:tab w:val="left" w:pos="852"/>
          <w:tab w:val="left" w:pos="853"/>
        </w:tabs>
        <w:rPr>
          <w:sz w:val="20"/>
        </w:rPr>
      </w:pPr>
      <w:r>
        <w:rPr>
          <w:sz w:val="20"/>
        </w:rPr>
        <w:t>Student and Departmental Account</w:t>
      </w:r>
      <w:r>
        <w:rPr>
          <w:spacing w:val="-14"/>
          <w:sz w:val="20"/>
        </w:rPr>
        <w:t xml:space="preserve"> </w:t>
      </w:r>
      <w:r>
        <w:rPr>
          <w:sz w:val="20"/>
        </w:rPr>
        <w:t>Services</w:t>
      </w:r>
    </w:p>
    <w:p w14:paraId="4F1CC23B" w14:textId="77777777" w:rsidR="00592C86" w:rsidRDefault="00000000">
      <w:pPr>
        <w:pStyle w:val="ListParagraph"/>
        <w:numPr>
          <w:ilvl w:val="0"/>
          <w:numId w:val="3"/>
        </w:numPr>
        <w:tabs>
          <w:tab w:val="left" w:pos="852"/>
          <w:tab w:val="left" w:pos="853"/>
        </w:tabs>
        <w:rPr>
          <w:sz w:val="20"/>
        </w:rPr>
      </w:pPr>
      <w:r>
        <w:rPr>
          <w:sz w:val="20"/>
        </w:rPr>
        <w:t>Office of Scholarship and Financial</w:t>
      </w:r>
      <w:r>
        <w:rPr>
          <w:spacing w:val="-16"/>
          <w:sz w:val="20"/>
        </w:rPr>
        <w:t xml:space="preserve"> </w:t>
      </w:r>
      <w:r>
        <w:rPr>
          <w:sz w:val="20"/>
        </w:rPr>
        <w:t>Aid</w:t>
      </w:r>
    </w:p>
    <w:p w14:paraId="4F1CC23C" w14:textId="77777777" w:rsidR="00592C86" w:rsidRDefault="00592C86">
      <w:pPr>
        <w:pStyle w:val="BodyText"/>
        <w:spacing w:before="2"/>
        <w:rPr>
          <w:sz w:val="23"/>
        </w:rPr>
      </w:pPr>
    </w:p>
    <w:p w14:paraId="4F1CC23D" w14:textId="77777777" w:rsidR="00592C86" w:rsidRDefault="00000000">
      <w:pPr>
        <w:pStyle w:val="Heading2"/>
        <w:ind w:left="132"/>
      </w:pPr>
      <w:r>
        <w:rPr>
          <w:color w:val="172755"/>
          <w:sz w:val="28"/>
        </w:rPr>
        <w:t>W</w:t>
      </w:r>
      <w:r>
        <w:rPr>
          <w:color w:val="172755"/>
        </w:rPr>
        <w:t xml:space="preserve">HO </w:t>
      </w:r>
      <w:r>
        <w:rPr>
          <w:color w:val="172755"/>
          <w:sz w:val="28"/>
        </w:rPr>
        <w:t>S</w:t>
      </w:r>
      <w:r>
        <w:rPr>
          <w:color w:val="172755"/>
        </w:rPr>
        <w:t xml:space="preserve">HOULD </w:t>
      </w:r>
      <w:r>
        <w:rPr>
          <w:color w:val="172755"/>
          <w:sz w:val="28"/>
        </w:rPr>
        <w:t>K</w:t>
      </w:r>
      <w:r>
        <w:rPr>
          <w:color w:val="172755"/>
        </w:rPr>
        <w:t xml:space="preserve">NOW </w:t>
      </w:r>
      <w:r>
        <w:rPr>
          <w:color w:val="172755"/>
          <w:sz w:val="28"/>
        </w:rPr>
        <w:t>T</w:t>
      </w:r>
      <w:r>
        <w:rPr>
          <w:color w:val="172755"/>
        </w:rPr>
        <w:t xml:space="preserve">HIS </w:t>
      </w:r>
      <w:r>
        <w:rPr>
          <w:color w:val="172755"/>
          <w:sz w:val="28"/>
        </w:rPr>
        <w:t>P</w:t>
      </w:r>
      <w:r>
        <w:rPr>
          <w:color w:val="172755"/>
        </w:rPr>
        <w:t>OLICY</w:t>
      </w:r>
    </w:p>
    <w:p w14:paraId="4F1CC23E" w14:textId="77777777" w:rsidR="00592C86" w:rsidRDefault="00000000">
      <w:pPr>
        <w:pStyle w:val="ListParagraph"/>
        <w:numPr>
          <w:ilvl w:val="0"/>
          <w:numId w:val="3"/>
        </w:numPr>
        <w:tabs>
          <w:tab w:val="left" w:pos="852"/>
          <w:tab w:val="left" w:pos="853"/>
        </w:tabs>
        <w:spacing w:before="231"/>
        <w:rPr>
          <w:sz w:val="20"/>
        </w:rPr>
      </w:pPr>
      <w:r>
        <w:rPr>
          <w:sz w:val="20"/>
        </w:rPr>
        <w:t>Office of the</w:t>
      </w:r>
      <w:r>
        <w:rPr>
          <w:spacing w:val="-8"/>
          <w:sz w:val="20"/>
        </w:rPr>
        <w:t xml:space="preserve"> </w:t>
      </w:r>
      <w:r>
        <w:rPr>
          <w:sz w:val="20"/>
        </w:rPr>
        <w:t>Registrar</w:t>
      </w:r>
    </w:p>
    <w:p w14:paraId="4F1CC23F" w14:textId="77777777" w:rsidR="00592C86" w:rsidRDefault="00000000">
      <w:pPr>
        <w:pStyle w:val="ListParagraph"/>
        <w:numPr>
          <w:ilvl w:val="0"/>
          <w:numId w:val="3"/>
        </w:numPr>
        <w:tabs>
          <w:tab w:val="left" w:pos="852"/>
          <w:tab w:val="left" w:pos="853"/>
        </w:tabs>
        <w:rPr>
          <w:sz w:val="20"/>
        </w:rPr>
      </w:pPr>
      <w:r>
        <w:rPr>
          <w:sz w:val="20"/>
        </w:rPr>
        <w:t>Enrollment</w:t>
      </w:r>
      <w:r>
        <w:rPr>
          <w:spacing w:val="-8"/>
          <w:sz w:val="20"/>
        </w:rPr>
        <w:t xml:space="preserve"> </w:t>
      </w:r>
      <w:r>
        <w:rPr>
          <w:sz w:val="20"/>
        </w:rPr>
        <w:t>Management</w:t>
      </w:r>
    </w:p>
    <w:p w14:paraId="4F1CC240" w14:textId="77777777" w:rsidR="00592C86" w:rsidRDefault="00000000">
      <w:pPr>
        <w:pStyle w:val="ListParagraph"/>
        <w:numPr>
          <w:ilvl w:val="0"/>
          <w:numId w:val="3"/>
        </w:numPr>
        <w:tabs>
          <w:tab w:val="left" w:pos="852"/>
          <w:tab w:val="left" w:pos="853"/>
        </w:tabs>
        <w:rPr>
          <w:sz w:val="20"/>
        </w:rPr>
      </w:pPr>
      <w:r>
        <w:rPr>
          <w:sz w:val="20"/>
        </w:rPr>
        <w:t>University</w:t>
      </w:r>
      <w:r>
        <w:rPr>
          <w:spacing w:val="-6"/>
          <w:sz w:val="20"/>
        </w:rPr>
        <w:t xml:space="preserve"> </w:t>
      </w:r>
      <w:r>
        <w:rPr>
          <w:sz w:val="20"/>
        </w:rPr>
        <w:t>Advising</w:t>
      </w:r>
    </w:p>
    <w:p w14:paraId="4F1CC241" w14:textId="77777777" w:rsidR="00592C86" w:rsidRDefault="00000000">
      <w:pPr>
        <w:pStyle w:val="ListParagraph"/>
        <w:numPr>
          <w:ilvl w:val="0"/>
          <w:numId w:val="3"/>
        </w:numPr>
        <w:tabs>
          <w:tab w:val="left" w:pos="852"/>
          <w:tab w:val="left" w:pos="853"/>
        </w:tabs>
        <w:rPr>
          <w:sz w:val="20"/>
        </w:rPr>
      </w:pPr>
      <w:r>
        <w:rPr>
          <w:sz w:val="20"/>
        </w:rPr>
        <w:t>Student and Departmental Account</w:t>
      </w:r>
      <w:r>
        <w:rPr>
          <w:spacing w:val="-14"/>
          <w:sz w:val="20"/>
        </w:rPr>
        <w:t xml:space="preserve"> </w:t>
      </w:r>
      <w:r>
        <w:rPr>
          <w:sz w:val="20"/>
        </w:rPr>
        <w:t>Services</w:t>
      </w:r>
    </w:p>
    <w:p w14:paraId="4F1CC242" w14:textId="77777777" w:rsidR="00592C86" w:rsidRDefault="00000000">
      <w:pPr>
        <w:pStyle w:val="ListParagraph"/>
        <w:numPr>
          <w:ilvl w:val="0"/>
          <w:numId w:val="3"/>
        </w:numPr>
        <w:tabs>
          <w:tab w:val="left" w:pos="852"/>
          <w:tab w:val="left" w:pos="853"/>
        </w:tabs>
        <w:rPr>
          <w:sz w:val="20"/>
        </w:rPr>
      </w:pPr>
      <w:r>
        <w:rPr>
          <w:sz w:val="20"/>
        </w:rPr>
        <w:t>Office of Scholarship and Financial</w:t>
      </w:r>
      <w:r>
        <w:rPr>
          <w:spacing w:val="-16"/>
          <w:sz w:val="20"/>
        </w:rPr>
        <w:t xml:space="preserve"> </w:t>
      </w:r>
      <w:r>
        <w:rPr>
          <w:sz w:val="20"/>
        </w:rPr>
        <w:t>Aid</w:t>
      </w:r>
    </w:p>
    <w:p w14:paraId="4F1CC243" w14:textId="77777777" w:rsidR="00592C86" w:rsidRDefault="00000000">
      <w:pPr>
        <w:pStyle w:val="ListParagraph"/>
        <w:numPr>
          <w:ilvl w:val="0"/>
          <w:numId w:val="3"/>
        </w:numPr>
        <w:tabs>
          <w:tab w:val="left" w:pos="852"/>
          <w:tab w:val="left" w:pos="853"/>
        </w:tabs>
        <w:rPr>
          <w:sz w:val="20"/>
        </w:rPr>
      </w:pPr>
      <w:r>
        <w:rPr>
          <w:sz w:val="20"/>
        </w:rPr>
        <w:t>Student</w:t>
      </w:r>
      <w:r>
        <w:rPr>
          <w:spacing w:val="-8"/>
          <w:sz w:val="20"/>
        </w:rPr>
        <w:t xml:space="preserve"> </w:t>
      </w:r>
      <w:r>
        <w:rPr>
          <w:sz w:val="20"/>
        </w:rPr>
        <w:t>Affairs</w:t>
      </w:r>
    </w:p>
    <w:p w14:paraId="4F1CC244" w14:textId="77777777" w:rsidR="00592C86" w:rsidRDefault="00592C86">
      <w:pPr>
        <w:pStyle w:val="BodyText"/>
        <w:spacing w:before="8"/>
        <w:rPr>
          <w:sz w:val="34"/>
        </w:rPr>
      </w:pPr>
    </w:p>
    <w:p w14:paraId="4F1CC245" w14:textId="77777777" w:rsidR="00592C86" w:rsidRDefault="00000000">
      <w:pPr>
        <w:pStyle w:val="Heading2"/>
        <w:ind w:left="132"/>
      </w:pPr>
      <w:r>
        <w:rPr>
          <w:color w:val="172755"/>
          <w:sz w:val="28"/>
        </w:rPr>
        <w:t>P</w:t>
      </w:r>
      <w:r>
        <w:rPr>
          <w:color w:val="172755"/>
        </w:rPr>
        <w:t>OLICY</w:t>
      </w:r>
    </w:p>
    <w:p w14:paraId="4F1CC246" w14:textId="77777777" w:rsidR="00592C86" w:rsidRDefault="00000000">
      <w:pPr>
        <w:pStyle w:val="BodyText"/>
        <w:spacing w:before="230" w:line="276" w:lineRule="auto"/>
        <w:ind w:left="132" w:right="422"/>
        <w:jc w:val="both"/>
      </w:pPr>
      <w:r>
        <w:t>This WUE Policy is effective beginning fall 2024 for undergraduate degree seeking students on the Flagstaff Mountain campus. The authority for the WUE program resides with University Admissions for incoming new students to NAU, and with the Office of the Registrar for continuing students.</w:t>
      </w:r>
    </w:p>
    <w:p w14:paraId="4F1CC247" w14:textId="77777777" w:rsidR="00592C86" w:rsidRDefault="00000000">
      <w:pPr>
        <w:pStyle w:val="BodyText"/>
        <w:spacing w:line="276" w:lineRule="auto"/>
        <w:ind w:left="132" w:right="331"/>
      </w:pPr>
      <w:r>
        <w:t>Petitions for exceptions to this policy shall be managed by these respective offices. The WUE program shall be evaluated at a minimum of every three years and this review shall be jointly prepared and completed by the Offices of University Admissions and the Office of the Registrar with assistance from Institutional Research and Analysis and/or other applicable NAU units. There is no limit to the number of total students enrolled in the WUE program. (</w:t>
      </w:r>
      <w:hyperlink r:id="rId8">
        <w:r>
          <w:rPr>
            <w:color w:val="0000FF"/>
            <w:u w:val="single" w:color="0000FF"/>
          </w:rPr>
          <w:t>nau.edu/wue</w:t>
        </w:r>
      </w:hyperlink>
      <w:r>
        <w:t>)</w:t>
      </w:r>
    </w:p>
    <w:p w14:paraId="4F1CC248" w14:textId="77777777" w:rsidR="00592C86" w:rsidRDefault="00592C86">
      <w:pPr>
        <w:spacing w:line="276" w:lineRule="auto"/>
        <w:sectPr w:rsidR="00592C86">
          <w:footerReference w:type="default" r:id="rId9"/>
          <w:type w:val="continuous"/>
          <w:pgSz w:w="12240" w:h="15840"/>
          <w:pgMar w:top="680" w:right="1040" w:bottom="1000" w:left="1020" w:header="720" w:footer="802" w:gutter="0"/>
          <w:pgNumType w:start="1"/>
          <w:cols w:space="720"/>
        </w:sectPr>
      </w:pPr>
    </w:p>
    <w:p w14:paraId="4F1CC249" w14:textId="77777777" w:rsidR="00592C86" w:rsidRDefault="00592C86">
      <w:pPr>
        <w:pStyle w:val="BodyText"/>
        <w:rPr>
          <w:sz w:val="20"/>
        </w:rPr>
      </w:pPr>
    </w:p>
    <w:p w14:paraId="4F1CC24A" w14:textId="77777777" w:rsidR="00592C86" w:rsidRDefault="00000000">
      <w:pPr>
        <w:pStyle w:val="BodyText"/>
        <w:spacing w:before="94" w:line="276" w:lineRule="auto"/>
        <w:ind w:left="132" w:right="366"/>
      </w:pPr>
      <w:r>
        <w:t>All undergraduate degree seeking programs, including Exploratory (undeclared) are open to WUE as of students admitted Summer 2015. (Restrictions apply to students first admitted to NAU prior to this term.)</w:t>
      </w:r>
    </w:p>
    <w:p w14:paraId="4F1CC24B" w14:textId="77777777" w:rsidR="00592C86" w:rsidRDefault="00000000">
      <w:pPr>
        <w:pStyle w:val="BodyText"/>
        <w:spacing w:before="199" w:line="271" w:lineRule="auto"/>
        <w:ind w:left="132" w:right="488"/>
      </w:pPr>
      <w:r>
        <w:t xml:space="preserve">WUE-eligible students accepted into the NAU Flagstaff nursing or dental hygiene programs with a fall 2018 or later program start will retain the WUE tuition rate. An additional application is still required for these highly competitive programs. See </w:t>
      </w:r>
      <w:hyperlink r:id="rId10">
        <w:r>
          <w:rPr>
            <w:color w:val="0462C1"/>
            <w:u w:val="single" w:color="0462C1"/>
          </w:rPr>
          <w:t>nau.edu/nursing</w:t>
        </w:r>
      </w:hyperlink>
      <w:r>
        <w:rPr>
          <w:color w:val="0462C1"/>
          <w:u w:val="single" w:color="0462C1"/>
        </w:rPr>
        <w:t xml:space="preserve"> </w:t>
      </w:r>
      <w:r>
        <w:t xml:space="preserve">or </w:t>
      </w:r>
      <w:hyperlink r:id="rId11">
        <w:r>
          <w:rPr>
            <w:color w:val="0462C1"/>
            <w:u w:val="single" w:color="0462C1"/>
          </w:rPr>
          <w:t>nau.edu/dentalhygiene</w:t>
        </w:r>
      </w:hyperlink>
      <w:r>
        <w:rPr>
          <w:color w:val="0462C1"/>
          <w:u w:val="single" w:color="0462C1"/>
        </w:rPr>
        <w:t xml:space="preserve"> </w:t>
      </w:r>
      <w:r>
        <w:t>for details.</w:t>
      </w:r>
    </w:p>
    <w:p w14:paraId="4F1CC24C" w14:textId="77777777" w:rsidR="00592C86" w:rsidRDefault="00000000">
      <w:pPr>
        <w:pStyle w:val="BodyText"/>
        <w:spacing w:before="204" w:line="276" w:lineRule="auto"/>
        <w:ind w:left="132" w:right="808"/>
      </w:pPr>
      <w:r>
        <w:t>Students who were accepted into the nursing or dental hygiene professional programs with a professional program start date prior to fall 2018 are not eligible for the WUE rate. Out-of- state tuition will continue to apply for all terms of their program.</w:t>
      </w:r>
    </w:p>
    <w:p w14:paraId="4F1CC24D" w14:textId="77777777" w:rsidR="00592C86" w:rsidRDefault="00000000">
      <w:pPr>
        <w:pStyle w:val="BodyText"/>
        <w:spacing w:before="205" w:line="276" w:lineRule="auto"/>
        <w:ind w:left="132" w:right="258"/>
      </w:pPr>
      <w:r>
        <w:t>Students who are currently enrolled at NAU and who are not in the WUE program due to the previous WUE rules in effect at the time of their initial enrollment at NAU are not eligible for the WUE Program.</w:t>
      </w:r>
    </w:p>
    <w:p w14:paraId="4F1CC24E" w14:textId="77777777" w:rsidR="00592C86" w:rsidRDefault="00000000">
      <w:pPr>
        <w:pStyle w:val="Heading1"/>
        <w:spacing w:before="77"/>
        <w:rPr>
          <w:rFonts w:ascii="Arial"/>
        </w:rPr>
      </w:pPr>
      <w:r>
        <w:rPr>
          <w:rFonts w:ascii="Arial"/>
          <w:u w:val="single"/>
        </w:rPr>
        <w:t>Undergraduate Student Eligibility</w:t>
      </w:r>
    </w:p>
    <w:p w14:paraId="4F1CC24F" w14:textId="77777777" w:rsidR="00592C86" w:rsidRDefault="00592C86">
      <w:pPr>
        <w:pStyle w:val="BodyText"/>
        <w:spacing w:before="4"/>
        <w:rPr>
          <w:sz w:val="19"/>
        </w:rPr>
      </w:pPr>
    </w:p>
    <w:p w14:paraId="4F1CC250" w14:textId="38C4CFEF" w:rsidR="00592C86" w:rsidRDefault="00000000">
      <w:pPr>
        <w:spacing w:before="100" w:line="285" w:lineRule="auto"/>
        <w:ind w:left="132"/>
        <w:rPr>
          <w:rFonts w:ascii="Trebuchet MS" w:hAnsi="Trebuchet MS"/>
          <w:sz w:val="24"/>
        </w:rPr>
      </w:pPr>
      <w:r>
        <w:rPr>
          <w:rFonts w:ascii="Trebuchet MS" w:hAnsi="Trebuchet MS"/>
          <w:sz w:val="24"/>
        </w:rPr>
        <w:t>Student</w:t>
      </w:r>
      <w:r>
        <w:rPr>
          <w:rFonts w:ascii="Trebuchet MS" w:hAnsi="Trebuchet MS"/>
          <w:spacing w:val="-38"/>
          <w:sz w:val="24"/>
        </w:rPr>
        <w:t xml:space="preserve"> </w:t>
      </w:r>
      <w:r>
        <w:rPr>
          <w:rFonts w:ascii="Trebuchet MS" w:hAnsi="Trebuchet MS"/>
          <w:sz w:val="24"/>
        </w:rPr>
        <w:t>eligibility</w:t>
      </w:r>
      <w:r>
        <w:rPr>
          <w:rFonts w:ascii="Trebuchet MS" w:hAnsi="Trebuchet MS"/>
          <w:spacing w:val="-38"/>
          <w:sz w:val="24"/>
        </w:rPr>
        <w:t xml:space="preserve"> </w:t>
      </w:r>
      <w:r>
        <w:rPr>
          <w:rFonts w:ascii="Trebuchet MS" w:hAnsi="Trebuchet MS"/>
          <w:sz w:val="24"/>
        </w:rPr>
        <w:t>to</w:t>
      </w:r>
      <w:r>
        <w:rPr>
          <w:rFonts w:ascii="Trebuchet MS" w:hAnsi="Trebuchet MS"/>
          <w:spacing w:val="-36"/>
          <w:sz w:val="24"/>
        </w:rPr>
        <w:t xml:space="preserve"> </w:t>
      </w:r>
      <w:r>
        <w:rPr>
          <w:rFonts w:ascii="Trebuchet MS" w:hAnsi="Trebuchet MS"/>
          <w:sz w:val="24"/>
        </w:rPr>
        <w:t>enter</w:t>
      </w:r>
      <w:r>
        <w:rPr>
          <w:rFonts w:ascii="Trebuchet MS" w:hAnsi="Trebuchet MS"/>
          <w:spacing w:val="-38"/>
          <w:sz w:val="24"/>
        </w:rPr>
        <w:t xml:space="preserve"> </w:t>
      </w:r>
      <w:r>
        <w:rPr>
          <w:rFonts w:ascii="Trebuchet MS" w:hAnsi="Trebuchet MS"/>
          <w:sz w:val="24"/>
        </w:rPr>
        <w:t>the</w:t>
      </w:r>
      <w:r>
        <w:rPr>
          <w:rFonts w:ascii="Trebuchet MS" w:hAnsi="Trebuchet MS"/>
          <w:spacing w:val="-37"/>
          <w:sz w:val="24"/>
        </w:rPr>
        <w:t xml:space="preserve"> </w:t>
      </w:r>
      <w:r>
        <w:rPr>
          <w:rFonts w:ascii="Trebuchet MS" w:hAnsi="Trebuchet MS"/>
          <w:sz w:val="24"/>
        </w:rPr>
        <w:t>WUE</w:t>
      </w:r>
      <w:r>
        <w:rPr>
          <w:rFonts w:ascii="Trebuchet MS" w:hAnsi="Trebuchet MS"/>
          <w:spacing w:val="-36"/>
          <w:sz w:val="24"/>
        </w:rPr>
        <w:t xml:space="preserve"> </w:t>
      </w:r>
      <w:r>
        <w:rPr>
          <w:rFonts w:ascii="Trebuchet MS" w:hAnsi="Trebuchet MS"/>
          <w:sz w:val="24"/>
        </w:rPr>
        <w:t>program</w:t>
      </w:r>
      <w:r>
        <w:rPr>
          <w:rFonts w:ascii="Trebuchet MS" w:hAnsi="Trebuchet MS"/>
          <w:spacing w:val="-36"/>
          <w:sz w:val="24"/>
        </w:rPr>
        <w:t xml:space="preserve"> </w:t>
      </w:r>
      <w:r>
        <w:rPr>
          <w:rFonts w:ascii="Trebuchet MS" w:hAnsi="Trebuchet MS"/>
          <w:sz w:val="24"/>
        </w:rPr>
        <w:t>will</w:t>
      </w:r>
      <w:r>
        <w:rPr>
          <w:rFonts w:ascii="Trebuchet MS" w:hAnsi="Trebuchet MS"/>
          <w:spacing w:val="-38"/>
          <w:sz w:val="24"/>
        </w:rPr>
        <w:t xml:space="preserve"> </w:t>
      </w:r>
      <w:r>
        <w:rPr>
          <w:rFonts w:ascii="Trebuchet MS" w:hAnsi="Trebuchet MS"/>
          <w:sz w:val="24"/>
        </w:rPr>
        <w:t>be</w:t>
      </w:r>
      <w:r>
        <w:rPr>
          <w:rFonts w:ascii="Trebuchet MS" w:hAnsi="Trebuchet MS"/>
          <w:spacing w:val="-37"/>
          <w:sz w:val="24"/>
        </w:rPr>
        <w:t xml:space="preserve"> </w:t>
      </w:r>
      <w:r>
        <w:rPr>
          <w:rFonts w:ascii="Trebuchet MS" w:hAnsi="Trebuchet MS"/>
          <w:sz w:val="24"/>
        </w:rPr>
        <w:t>assessed</w:t>
      </w:r>
      <w:r>
        <w:rPr>
          <w:rFonts w:ascii="Trebuchet MS" w:hAnsi="Trebuchet MS"/>
          <w:spacing w:val="-37"/>
          <w:sz w:val="24"/>
        </w:rPr>
        <w:t xml:space="preserve"> </w:t>
      </w:r>
      <w:r>
        <w:rPr>
          <w:rFonts w:ascii="Trebuchet MS" w:hAnsi="Trebuchet MS"/>
          <w:sz w:val="24"/>
        </w:rPr>
        <w:t>at</w:t>
      </w:r>
      <w:r>
        <w:rPr>
          <w:rFonts w:ascii="Trebuchet MS" w:hAnsi="Trebuchet MS"/>
          <w:spacing w:val="-38"/>
          <w:sz w:val="24"/>
        </w:rPr>
        <w:t xml:space="preserve"> </w:t>
      </w:r>
      <w:r>
        <w:rPr>
          <w:rFonts w:ascii="Trebuchet MS" w:hAnsi="Trebuchet MS"/>
          <w:sz w:val="24"/>
        </w:rPr>
        <w:t>the</w:t>
      </w:r>
      <w:r>
        <w:rPr>
          <w:rFonts w:ascii="Trebuchet MS" w:hAnsi="Trebuchet MS"/>
          <w:spacing w:val="-37"/>
          <w:sz w:val="24"/>
        </w:rPr>
        <w:t xml:space="preserve"> </w:t>
      </w:r>
      <w:r>
        <w:rPr>
          <w:rFonts w:ascii="Trebuchet MS" w:hAnsi="Trebuchet MS"/>
          <w:sz w:val="24"/>
        </w:rPr>
        <w:t>time</w:t>
      </w:r>
      <w:r>
        <w:rPr>
          <w:rFonts w:ascii="Trebuchet MS" w:hAnsi="Trebuchet MS"/>
          <w:spacing w:val="-37"/>
          <w:sz w:val="24"/>
        </w:rPr>
        <w:t xml:space="preserve"> </w:t>
      </w:r>
      <w:r>
        <w:rPr>
          <w:rFonts w:ascii="Trebuchet MS" w:hAnsi="Trebuchet MS"/>
          <w:sz w:val="24"/>
        </w:rPr>
        <w:t>of</w:t>
      </w:r>
      <w:r>
        <w:rPr>
          <w:rFonts w:ascii="Trebuchet MS" w:hAnsi="Trebuchet MS"/>
          <w:spacing w:val="-38"/>
          <w:sz w:val="24"/>
        </w:rPr>
        <w:t xml:space="preserve"> </w:t>
      </w:r>
      <w:r>
        <w:rPr>
          <w:rFonts w:ascii="Trebuchet MS" w:hAnsi="Trebuchet MS"/>
          <w:sz w:val="24"/>
        </w:rPr>
        <w:t>admission</w:t>
      </w:r>
      <w:r>
        <w:rPr>
          <w:rFonts w:ascii="Trebuchet MS" w:hAnsi="Trebuchet MS"/>
          <w:spacing w:val="-38"/>
          <w:sz w:val="24"/>
        </w:rPr>
        <w:t xml:space="preserve"> </w:t>
      </w:r>
      <w:r>
        <w:rPr>
          <w:rFonts w:ascii="Trebuchet MS" w:hAnsi="Trebuchet MS"/>
          <w:sz w:val="24"/>
        </w:rPr>
        <w:t>to</w:t>
      </w:r>
      <w:r>
        <w:rPr>
          <w:rFonts w:ascii="Trebuchet MS" w:hAnsi="Trebuchet MS"/>
          <w:spacing w:val="-36"/>
          <w:sz w:val="24"/>
        </w:rPr>
        <w:t xml:space="preserve"> </w:t>
      </w:r>
      <w:r>
        <w:rPr>
          <w:rFonts w:ascii="Trebuchet MS" w:hAnsi="Trebuchet MS"/>
          <w:sz w:val="24"/>
        </w:rPr>
        <w:t>NAU</w:t>
      </w:r>
      <w:r>
        <w:rPr>
          <w:rFonts w:ascii="Trebuchet MS" w:hAnsi="Trebuchet MS"/>
          <w:spacing w:val="-37"/>
          <w:sz w:val="24"/>
        </w:rPr>
        <w:t xml:space="preserve"> </w:t>
      </w:r>
      <w:r>
        <w:rPr>
          <w:rFonts w:ascii="Trebuchet MS" w:hAnsi="Trebuchet MS"/>
          <w:sz w:val="24"/>
        </w:rPr>
        <w:t xml:space="preserve">or </w:t>
      </w:r>
      <w:r>
        <w:rPr>
          <w:rFonts w:ascii="Calibri" w:hAnsi="Calibri"/>
          <w:sz w:val="24"/>
        </w:rPr>
        <w:t xml:space="preserve">during  a  campus  change.  Admission  is  based  on  the  student’s  state  of  residence  (home </w:t>
      </w:r>
      <w:r>
        <w:rPr>
          <w:rFonts w:ascii="Trebuchet MS" w:hAnsi="Trebuchet MS"/>
          <w:sz w:val="24"/>
        </w:rPr>
        <w:t>address),</w:t>
      </w:r>
      <w:r>
        <w:rPr>
          <w:rFonts w:ascii="Trebuchet MS" w:hAnsi="Trebuchet MS"/>
          <w:spacing w:val="-41"/>
          <w:sz w:val="24"/>
        </w:rPr>
        <w:t xml:space="preserve"> </w:t>
      </w:r>
      <w:r>
        <w:rPr>
          <w:rFonts w:ascii="Trebuchet MS" w:hAnsi="Trebuchet MS"/>
          <w:sz w:val="24"/>
        </w:rPr>
        <w:t>eligibility</w:t>
      </w:r>
      <w:r>
        <w:rPr>
          <w:rFonts w:ascii="Trebuchet MS" w:hAnsi="Trebuchet MS"/>
          <w:spacing w:val="-43"/>
          <w:sz w:val="24"/>
        </w:rPr>
        <w:t xml:space="preserve"> </w:t>
      </w:r>
      <w:r>
        <w:rPr>
          <w:rFonts w:ascii="Trebuchet MS" w:hAnsi="Trebuchet MS"/>
          <w:sz w:val="24"/>
        </w:rPr>
        <w:t>to</w:t>
      </w:r>
      <w:r>
        <w:rPr>
          <w:rFonts w:ascii="Trebuchet MS" w:hAnsi="Trebuchet MS"/>
          <w:spacing w:val="-43"/>
          <w:sz w:val="24"/>
        </w:rPr>
        <w:t xml:space="preserve"> </w:t>
      </w:r>
      <w:r>
        <w:rPr>
          <w:rFonts w:ascii="Trebuchet MS" w:hAnsi="Trebuchet MS"/>
          <w:sz w:val="24"/>
        </w:rPr>
        <w:t>be</w:t>
      </w:r>
      <w:r>
        <w:rPr>
          <w:rFonts w:ascii="Trebuchet MS" w:hAnsi="Trebuchet MS"/>
          <w:spacing w:val="-41"/>
          <w:sz w:val="24"/>
        </w:rPr>
        <w:t xml:space="preserve"> </w:t>
      </w:r>
      <w:r>
        <w:rPr>
          <w:rFonts w:ascii="Trebuchet MS" w:hAnsi="Trebuchet MS"/>
          <w:sz w:val="24"/>
        </w:rPr>
        <w:t>admitted</w:t>
      </w:r>
      <w:r>
        <w:rPr>
          <w:rFonts w:ascii="Trebuchet MS" w:hAnsi="Trebuchet MS"/>
          <w:spacing w:val="-42"/>
          <w:sz w:val="24"/>
        </w:rPr>
        <w:t xml:space="preserve"> </w:t>
      </w:r>
      <w:r>
        <w:rPr>
          <w:rFonts w:ascii="Trebuchet MS" w:hAnsi="Trebuchet MS"/>
          <w:sz w:val="24"/>
        </w:rPr>
        <w:t>to</w:t>
      </w:r>
      <w:r>
        <w:rPr>
          <w:rFonts w:ascii="Trebuchet MS" w:hAnsi="Trebuchet MS"/>
          <w:spacing w:val="-43"/>
          <w:sz w:val="24"/>
        </w:rPr>
        <w:t xml:space="preserve"> </w:t>
      </w:r>
      <w:r>
        <w:rPr>
          <w:rFonts w:ascii="Trebuchet MS" w:hAnsi="Trebuchet MS"/>
          <w:sz w:val="24"/>
        </w:rPr>
        <w:t>NAU</w:t>
      </w:r>
      <w:r>
        <w:rPr>
          <w:rFonts w:ascii="Trebuchet MS" w:hAnsi="Trebuchet MS"/>
          <w:spacing w:val="-42"/>
          <w:sz w:val="24"/>
        </w:rPr>
        <w:t xml:space="preserve"> </w:t>
      </w:r>
      <w:r>
        <w:rPr>
          <w:rFonts w:ascii="Trebuchet MS" w:hAnsi="Trebuchet MS"/>
          <w:sz w:val="24"/>
        </w:rPr>
        <w:t>and</w:t>
      </w:r>
      <w:r>
        <w:rPr>
          <w:rFonts w:ascii="Trebuchet MS" w:hAnsi="Trebuchet MS"/>
          <w:spacing w:val="-40"/>
          <w:sz w:val="24"/>
        </w:rPr>
        <w:t xml:space="preserve"> </w:t>
      </w:r>
      <w:r>
        <w:rPr>
          <w:rFonts w:ascii="Trebuchet MS" w:hAnsi="Trebuchet MS"/>
          <w:sz w:val="24"/>
        </w:rPr>
        <w:t>their</w:t>
      </w:r>
      <w:r>
        <w:rPr>
          <w:rFonts w:ascii="Trebuchet MS" w:hAnsi="Trebuchet MS"/>
          <w:spacing w:val="-43"/>
          <w:sz w:val="24"/>
        </w:rPr>
        <w:t xml:space="preserve"> </w:t>
      </w:r>
      <w:r>
        <w:rPr>
          <w:rFonts w:ascii="Trebuchet MS" w:hAnsi="Trebuchet MS"/>
          <w:sz w:val="24"/>
        </w:rPr>
        <w:t>program,</w:t>
      </w:r>
      <w:r>
        <w:rPr>
          <w:rFonts w:ascii="Trebuchet MS" w:hAnsi="Trebuchet MS"/>
          <w:spacing w:val="-41"/>
          <w:sz w:val="24"/>
        </w:rPr>
        <w:t xml:space="preserve"> </w:t>
      </w:r>
      <w:r>
        <w:rPr>
          <w:rFonts w:ascii="Trebuchet MS" w:hAnsi="Trebuchet MS"/>
          <w:sz w:val="24"/>
        </w:rPr>
        <w:t>and</w:t>
      </w:r>
      <w:r>
        <w:rPr>
          <w:rFonts w:ascii="Trebuchet MS" w:hAnsi="Trebuchet MS"/>
          <w:spacing w:val="-43"/>
          <w:sz w:val="24"/>
        </w:rPr>
        <w:t xml:space="preserve"> </w:t>
      </w:r>
      <w:r>
        <w:rPr>
          <w:rFonts w:ascii="Trebuchet MS" w:hAnsi="Trebuchet MS"/>
          <w:sz w:val="24"/>
        </w:rPr>
        <w:t>enrollment</w:t>
      </w:r>
      <w:r>
        <w:rPr>
          <w:rFonts w:ascii="Trebuchet MS" w:hAnsi="Trebuchet MS"/>
          <w:spacing w:val="-43"/>
          <w:sz w:val="24"/>
        </w:rPr>
        <w:t xml:space="preserve"> </w:t>
      </w:r>
      <w:r>
        <w:rPr>
          <w:rFonts w:ascii="Trebuchet MS" w:hAnsi="Trebuchet MS"/>
          <w:sz w:val="24"/>
        </w:rPr>
        <w:t>at</w:t>
      </w:r>
      <w:r>
        <w:rPr>
          <w:rFonts w:ascii="Trebuchet MS" w:hAnsi="Trebuchet MS"/>
          <w:spacing w:val="-41"/>
          <w:sz w:val="24"/>
        </w:rPr>
        <w:t xml:space="preserve"> </w:t>
      </w:r>
      <w:r>
        <w:rPr>
          <w:rFonts w:ascii="Trebuchet MS" w:hAnsi="Trebuchet MS"/>
          <w:sz w:val="24"/>
        </w:rPr>
        <w:t>the</w:t>
      </w:r>
      <w:r>
        <w:rPr>
          <w:rFonts w:ascii="Trebuchet MS" w:hAnsi="Trebuchet MS"/>
          <w:spacing w:val="-41"/>
          <w:sz w:val="24"/>
        </w:rPr>
        <w:t xml:space="preserve"> </w:t>
      </w:r>
      <w:r>
        <w:rPr>
          <w:rFonts w:ascii="Trebuchet MS" w:hAnsi="Trebuchet MS"/>
          <w:sz w:val="24"/>
        </w:rPr>
        <w:t>Flagstaff Campus.</w:t>
      </w:r>
      <w:r>
        <w:rPr>
          <w:rFonts w:ascii="Trebuchet MS" w:hAnsi="Trebuchet MS"/>
          <w:spacing w:val="-41"/>
          <w:sz w:val="24"/>
        </w:rPr>
        <w:t xml:space="preserve"> </w:t>
      </w:r>
      <w:r>
        <w:rPr>
          <w:rFonts w:ascii="Trebuchet MS" w:hAnsi="Trebuchet MS"/>
          <w:sz w:val="24"/>
        </w:rPr>
        <w:t>These</w:t>
      </w:r>
      <w:r>
        <w:rPr>
          <w:rFonts w:ascii="Trebuchet MS" w:hAnsi="Trebuchet MS"/>
          <w:spacing w:val="-42"/>
          <w:sz w:val="24"/>
        </w:rPr>
        <w:t xml:space="preserve"> </w:t>
      </w:r>
      <w:r>
        <w:rPr>
          <w:rFonts w:ascii="Trebuchet MS" w:hAnsi="Trebuchet MS"/>
          <w:sz w:val="24"/>
        </w:rPr>
        <w:t>criteria</w:t>
      </w:r>
      <w:r>
        <w:rPr>
          <w:rFonts w:ascii="Trebuchet MS" w:hAnsi="Trebuchet MS"/>
          <w:spacing w:val="-43"/>
          <w:sz w:val="24"/>
        </w:rPr>
        <w:t xml:space="preserve"> </w:t>
      </w:r>
      <w:r>
        <w:rPr>
          <w:rFonts w:ascii="Trebuchet MS" w:hAnsi="Trebuchet MS"/>
          <w:sz w:val="24"/>
        </w:rPr>
        <w:t>apply</w:t>
      </w:r>
      <w:r>
        <w:rPr>
          <w:rFonts w:ascii="Trebuchet MS" w:hAnsi="Trebuchet MS"/>
          <w:spacing w:val="-43"/>
          <w:sz w:val="24"/>
        </w:rPr>
        <w:t xml:space="preserve"> </w:t>
      </w:r>
      <w:r>
        <w:rPr>
          <w:rFonts w:ascii="Trebuchet MS" w:hAnsi="Trebuchet MS"/>
          <w:sz w:val="24"/>
        </w:rPr>
        <w:t>to</w:t>
      </w:r>
      <w:r>
        <w:rPr>
          <w:rFonts w:ascii="Trebuchet MS" w:hAnsi="Trebuchet MS"/>
          <w:spacing w:val="-41"/>
          <w:sz w:val="24"/>
        </w:rPr>
        <w:t xml:space="preserve"> </w:t>
      </w:r>
      <w:r>
        <w:rPr>
          <w:rFonts w:ascii="Trebuchet MS" w:hAnsi="Trebuchet MS"/>
          <w:sz w:val="24"/>
        </w:rPr>
        <w:t>freshmen,</w:t>
      </w:r>
      <w:r>
        <w:rPr>
          <w:rFonts w:ascii="Trebuchet MS" w:hAnsi="Trebuchet MS"/>
          <w:spacing w:val="-41"/>
          <w:sz w:val="24"/>
        </w:rPr>
        <w:t xml:space="preserve"> </w:t>
      </w:r>
      <w:r>
        <w:rPr>
          <w:rFonts w:ascii="Trebuchet MS" w:hAnsi="Trebuchet MS"/>
          <w:sz w:val="24"/>
        </w:rPr>
        <w:t>transfer</w:t>
      </w:r>
      <w:r>
        <w:rPr>
          <w:rFonts w:ascii="Trebuchet MS" w:hAnsi="Trebuchet MS"/>
          <w:spacing w:val="-43"/>
          <w:sz w:val="24"/>
        </w:rPr>
        <w:t xml:space="preserve"> </w:t>
      </w:r>
      <w:r>
        <w:rPr>
          <w:rFonts w:ascii="Trebuchet MS" w:hAnsi="Trebuchet MS"/>
          <w:sz w:val="24"/>
        </w:rPr>
        <w:t>students,</w:t>
      </w:r>
      <w:r>
        <w:rPr>
          <w:rFonts w:ascii="Trebuchet MS" w:hAnsi="Trebuchet MS"/>
          <w:spacing w:val="-41"/>
          <w:sz w:val="24"/>
        </w:rPr>
        <w:t xml:space="preserve"> </w:t>
      </w:r>
      <w:r>
        <w:rPr>
          <w:rFonts w:ascii="Trebuchet MS" w:hAnsi="Trebuchet MS"/>
          <w:sz w:val="24"/>
        </w:rPr>
        <w:t>and</w:t>
      </w:r>
      <w:r>
        <w:rPr>
          <w:rFonts w:ascii="Trebuchet MS" w:hAnsi="Trebuchet MS"/>
          <w:spacing w:val="-43"/>
          <w:sz w:val="24"/>
        </w:rPr>
        <w:t xml:space="preserve"> </w:t>
      </w:r>
      <w:r>
        <w:rPr>
          <w:rFonts w:ascii="Trebuchet MS" w:hAnsi="Trebuchet MS"/>
          <w:sz w:val="24"/>
        </w:rPr>
        <w:t>post-baccalaureate</w:t>
      </w:r>
      <w:r>
        <w:rPr>
          <w:rFonts w:ascii="Trebuchet MS" w:hAnsi="Trebuchet MS"/>
          <w:spacing w:val="-42"/>
          <w:sz w:val="24"/>
        </w:rPr>
        <w:t xml:space="preserve"> </w:t>
      </w:r>
      <w:r>
        <w:rPr>
          <w:rFonts w:ascii="Trebuchet MS" w:hAnsi="Trebuchet MS"/>
          <w:sz w:val="24"/>
        </w:rPr>
        <w:t>students seeking</w:t>
      </w:r>
      <w:r>
        <w:rPr>
          <w:rFonts w:ascii="Trebuchet MS" w:hAnsi="Trebuchet MS"/>
          <w:spacing w:val="-48"/>
          <w:sz w:val="24"/>
        </w:rPr>
        <w:t xml:space="preserve"> </w:t>
      </w:r>
      <w:r>
        <w:rPr>
          <w:rFonts w:ascii="Trebuchet MS" w:hAnsi="Trebuchet MS"/>
          <w:sz w:val="24"/>
        </w:rPr>
        <w:t>a</w:t>
      </w:r>
      <w:r>
        <w:rPr>
          <w:rFonts w:ascii="Trebuchet MS" w:hAnsi="Trebuchet MS"/>
          <w:spacing w:val="-48"/>
          <w:sz w:val="24"/>
        </w:rPr>
        <w:t xml:space="preserve"> </w:t>
      </w:r>
      <w:r>
        <w:rPr>
          <w:rFonts w:ascii="Trebuchet MS" w:hAnsi="Trebuchet MS"/>
          <w:sz w:val="24"/>
        </w:rPr>
        <w:t>second</w:t>
      </w:r>
      <w:r>
        <w:rPr>
          <w:rFonts w:ascii="Trebuchet MS" w:hAnsi="Trebuchet MS"/>
          <w:spacing w:val="-48"/>
          <w:sz w:val="24"/>
        </w:rPr>
        <w:t xml:space="preserve"> </w:t>
      </w:r>
      <w:r>
        <w:rPr>
          <w:rFonts w:ascii="Trebuchet MS" w:hAnsi="Trebuchet MS"/>
          <w:sz w:val="24"/>
        </w:rPr>
        <w:t>bachelor-level</w:t>
      </w:r>
      <w:r>
        <w:rPr>
          <w:rFonts w:ascii="Trebuchet MS" w:hAnsi="Trebuchet MS"/>
          <w:spacing w:val="-48"/>
          <w:sz w:val="24"/>
        </w:rPr>
        <w:t xml:space="preserve"> </w:t>
      </w:r>
      <w:r>
        <w:rPr>
          <w:rFonts w:ascii="Trebuchet MS" w:hAnsi="Trebuchet MS"/>
          <w:sz w:val="24"/>
        </w:rPr>
        <w:t>degree</w:t>
      </w:r>
      <w:r w:rsidR="001B71FE">
        <w:rPr>
          <w:rFonts w:ascii="Trebuchet MS" w:hAnsi="Trebuchet MS"/>
          <w:sz w:val="24"/>
        </w:rPr>
        <w:t>,</w:t>
      </w:r>
      <w:r w:rsidR="00467996">
        <w:rPr>
          <w:rFonts w:ascii="Trebuchet MS" w:hAnsi="Trebuchet MS"/>
          <w:sz w:val="24"/>
        </w:rPr>
        <w:t xml:space="preserve"> but the first degree at NAU.</w:t>
      </w:r>
    </w:p>
    <w:p w14:paraId="4F1CC251" w14:textId="77777777" w:rsidR="00592C86" w:rsidRDefault="00000000">
      <w:pPr>
        <w:spacing w:before="244"/>
        <w:ind w:left="132"/>
        <w:rPr>
          <w:sz w:val="24"/>
        </w:rPr>
      </w:pPr>
      <w:r>
        <w:rPr>
          <w:sz w:val="24"/>
          <w:u w:val="single"/>
        </w:rPr>
        <w:t>Maintaining Eligibility for Continuing Students</w:t>
      </w:r>
    </w:p>
    <w:p w14:paraId="4F1CC252" w14:textId="77777777" w:rsidR="00592C86" w:rsidRDefault="00592C86">
      <w:pPr>
        <w:pStyle w:val="BodyText"/>
        <w:spacing w:before="8"/>
        <w:rPr>
          <w:sz w:val="19"/>
        </w:rPr>
      </w:pPr>
    </w:p>
    <w:p w14:paraId="4F1CC253" w14:textId="77777777" w:rsidR="00592C86" w:rsidRDefault="00000000">
      <w:pPr>
        <w:pStyle w:val="BodyText"/>
        <w:spacing w:before="94" w:line="276" w:lineRule="auto"/>
        <w:ind w:left="132" w:right="537"/>
      </w:pPr>
      <w:r>
        <w:t>There are no additional requirements, beyond the University’s academic continuation policies campus change guidelines and the admission-based program requirements, placed on continuing students’ WUE eligibility.</w:t>
      </w:r>
    </w:p>
    <w:p w14:paraId="4F1CC254" w14:textId="77777777" w:rsidR="00592C86" w:rsidRDefault="00592C86">
      <w:pPr>
        <w:pStyle w:val="BodyText"/>
        <w:spacing w:before="3"/>
        <w:rPr>
          <w:sz w:val="25"/>
        </w:rPr>
      </w:pPr>
    </w:p>
    <w:p w14:paraId="4F1CC255" w14:textId="77777777" w:rsidR="00592C86" w:rsidRDefault="00000000">
      <w:pPr>
        <w:pStyle w:val="BodyText"/>
        <w:spacing w:line="276" w:lineRule="auto"/>
        <w:ind w:left="132" w:right="428"/>
      </w:pPr>
      <w:r>
        <w:t>If a WUE-eligible student withdraws from all classes and/or disrupts their attendance for a length of time (stop-out), they may re-enter the WUE program if they re-enter NAU and meet all pertinent academic requirements and any other future WUE program policies at the time of re-entry.</w:t>
      </w:r>
    </w:p>
    <w:p w14:paraId="4F1CC256" w14:textId="77777777" w:rsidR="00592C86" w:rsidRDefault="00592C86">
      <w:pPr>
        <w:pStyle w:val="BodyText"/>
        <w:spacing w:before="3"/>
        <w:rPr>
          <w:sz w:val="25"/>
        </w:rPr>
      </w:pPr>
    </w:p>
    <w:p w14:paraId="4F1CC257" w14:textId="77777777" w:rsidR="00592C86" w:rsidRDefault="00000000">
      <w:pPr>
        <w:pStyle w:val="BodyText"/>
        <w:ind w:left="132" w:right="1309"/>
      </w:pPr>
      <w:r>
        <w:t>Students will maintain their WUE eligibility while on academic probation, caution, warning, suspension, and/or pause.</w:t>
      </w:r>
    </w:p>
    <w:p w14:paraId="4F1CC258" w14:textId="77777777" w:rsidR="00592C86" w:rsidRDefault="00592C86">
      <w:pPr>
        <w:pStyle w:val="BodyText"/>
        <w:spacing w:before="6"/>
        <w:rPr>
          <w:sz w:val="20"/>
        </w:rPr>
      </w:pPr>
    </w:p>
    <w:p w14:paraId="4F1CC259" w14:textId="77777777" w:rsidR="00592C86" w:rsidRDefault="00000000">
      <w:pPr>
        <w:pStyle w:val="BodyText"/>
        <w:spacing w:before="1"/>
        <w:ind w:left="132"/>
      </w:pPr>
      <w:r>
        <w:t xml:space="preserve">The WUE rate is </w:t>
      </w:r>
      <w:r>
        <w:rPr>
          <w:u w:val="single"/>
        </w:rPr>
        <w:t xml:space="preserve">not </w:t>
      </w:r>
      <w:r>
        <w:t>applicable to excess credit hours as defined by Arizona Revised Statutes</w:t>
      </w:r>
    </w:p>
    <w:p w14:paraId="4F1CC25A" w14:textId="77777777" w:rsidR="00592C86" w:rsidRDefault="00000000">
      <w:pPr>
        <w:pStyle w:val="BodyText"/>
        <w:spacing w:before="40" w:line="276" w:lineRule="auto"/>
        <w:ind w:left="132" w:right="635"/>
      </w:pPr>
      <w:r>
        <w:t>§15-1661. Students are responsible for all tuition and fees applicable to excess credit hours. The full excess credit hours policy is available on the website of the Office of the Registrar.</w:t>
      </w:r>
    </w:p>
    <w:p w14:paraId="4F1CC25B" w14:textId="77777777" w:rsidR="00592C86" w:rsidRDefault="00000000">
      <w:pPr>
        <w:pStyle w:val="BodyText"/>
        <w:spacing w:before="204"/>
        <w:ind w:left="132"/>
      </w:pPr>
      <w:r>
        <w:t>A student’s WUE eligibility will terminate upon awarding of a degree.</w:t>
      </w:r>
    </w:p>
    <w:p w14:paraId="4F1CC25C" w14:textId="77777777" w:rsidR="00592C86" w:rsidRDefault="00592C86">
      <w:pPr>
        <w:sectPr w:rsidR="00592C86">
          <w:headerReference w:type="default" r:id="rId12"/>
          <w:pgSz w:w="12240" w:h="15840"/>
          <w:pgMar w:top="1280" w:right="1040" w:bottom="1000" w:left="1020" w:header="1021" w:footer="802" w:gutter="0"/>
          <w:cols w:space="720"/>
        </w:sectPr>
      </w:pPr>
    </w:p>
    <w:p w14:paraId="4F1CC25D" w14:textId="77777777" w:rsidR="00592C86" w:rsidRDefault="00592C86">
      <w:pPr>
        <w:pStyle w:val="BodyText"/>
        <w:rPr>
          <w:sz w:val="20"/>
        </w:rPr>
      </w:pPr>
    </w:p>
    <w:p w14:paraId="4F1CC25E" w14:textId="77777777" w:rsidR="00592C86" w:rsidRDefault="00000000">
      <w:pPr>
        <w:pStyle w:val="BodyText"/>
        <w:spacing w:before="94" w:line="276" w:lineRule="auto"/>
        <w:ind w:left="132" w:right="770"/>
      </w:pPr>
      <w:r>
        <w:t>A NAU degree seeking student may be co-enrolled at NAU and a community college and retain eligibility for WUE.</w:t>
      </w:r>
    </w:p>
    <w:p w14:paraId="4F1CC25F" w14:textId="77777777" w:rsidR="00592C86" w:rsidRDefault="00592C86">
      <w:pPr>
        <w:pStyle w:val="BodyText"/>
        <w:spacing w:before="11"/>
        <w:rPr>
          <w:sz w:val="20"/>
        </w:rPr>
      </w:pPr>
    </w:p>
    <w:p w14:paraId="4F1CC260" w14:textId="77777777" w:rsidR="00592C86" w:rsidRDefault="00000000">
      <w:pPr>
        <w:pStyle w:val="Heading1"/>
        <w:rPr>
          <w:rFonts w:ascii="Arial"/>
        </w:rPr>
      </w:pPr>
      <w:r>
        <w:rPr>
          <w:rFonts w:ascii="Arial"/>
          <w:u w:val="single"/>
        </w:rPr>
        <w:t>Disqualification from other NAU Non-resident Tuition Scholarships</w:t>
      </w:r>
    </w:p>
    <w:p w14:paraId="4F1CC261" w14:textId="77777777" w:rsidR="00592C86" w:rsidRDefault="00592C86">
      <w:pPr>
        <w:pStyle w:val="BodyText"/>
        <w:rPr>
          <w:sz w:val="20"/>
        </w:rPr>
      </w:pPr>
    </w:p>
    <w:p w14:paraId="4F1CC262" w14:textId="77777777" w:rsidR="00592C86" w:rsidRDefault="00000000">
      <w:pPr>
        <w:pStyle w:val="BodyText"/>
        <w:spacing w:before="93" w:line="276" w:lineRule="auto"/>
        <w:ind w:left="132" w:right="868"/>
      </w:pPr>
      <w:r>
        <w:t>Participating in WUE disqualifies students from receiving the Presidential Scholarship. Other scholarships not listed, based on their guidelines, may not permit WUE to be awarded with the specific scholarship.</w:t>
      </w:r>
    </w:p>
    <w:p w14:paraId="4F1CC263" w14:textId="77777777" w:rsidR="00592C86" w:rsidRDefault="00592C86">
      <w:pPr>
        <w:pStyle w:val="BodyText"/>
        <w:spacing w:before="10"/>
        <w:rPr>
          <w:sz w:val="20"/>
        </w:rPr>
      </w:pPr>
    </w:p>
    <w:p w14:paraId="4F1CC264" w14:textId="77777777" w:rsidR="00592C86" w:rsidRDefault="00000000">
      <w:pPr>
        <w:pStyle w:val="Heading1"/>
        <w:rPr>
          <w:rFonts w:ascii="Arial"/>
        </w:rPr>
      </w:pPr>
      <w:r>
        <w:rPr>
          <w:rFonts w:ascii="Arial"/>
          <w:u w:val="single"/>
        </w:rPr>
        <w:t>Requirements of Agencies External to NAU</w:t>
      </w:r>
    </w:p>
    <w:p w14:paraId="4F1CC265" w14:textId="77777777" w:rsidR="00592C86" w:rsidRDefault="00592C86">
      <w:pPr>
        <w:pStyle w:val="BodyText"/>
        <w:spacing w:before="2"/>
        <w:rPr>
          <w:sz w:val="20"/>
        </w:rPr>
      </w:pPr>
    </w:p>
    <w:p w14:paraId="4F1CC266" w14:textId="77777777" w:rsidR="00592C86" w:rsidRDefault="00000000">
      <w:pPr>
        <w:pStyle w:val="BodyText"/>
        <w:spacing w:before="93" w:line="276" w:lineRule="auto"/>
        <w:ind w:left="132" w:right="391"/>
      </w:pPr>
      <w:r>
        <w:t>A student who meets WUE eligibility requirements upon initial matriculation at NAU, but who is prohibited from accepting the WUE program because of being subject to rules and/or regulations of an agency external to NAU, may become eligible for the WUE program when they are no longer subject to the rules and/or regulations of the external agency.</w:t>
      </w:r>
    </w:p>
    <w:p w14:paraId="4F1CC267" w14:textId="77777777" w:rsidR="00592C86" w:rsidRDefault="00592C86">
      <w:pPr>
        <w:pStyle w:val="BodyText"/>
        <w:spacing w:before="10"/>
        <w:rPr>
          <w:sz w:val="20"/>
        </w:rPr>
      </w:pPr>
    </w:p>
    <w:p w14:paraId="4F1CC268" w14:textId="77777777" w:rsidR="00592C86" w:rsidRDefault="00000000">
      <w:pPr>
        <w:pStyle w:val="Heading1"/>
        <w:rPr>
          <w:rFonts w:ascii="Arial"/>
        </w:rPr>
      </w:pPr>
      <w:r>
        <w:rPr>
          <w:rFonts w:ascii="Arial"/>
          <w:u w:val="single"/>
        </w:rPr>
        <w:t>Study Abroad and National Student Exchange</w:t>
      </w:r>
    </w:p>
    <w:p w14:paraId="4F1CC269" w14:textId="77777777" w:rsidR="00592C86" w:rsidRDefault="00592C86">
      <w:pPr>
        <w:pStyle w:val="BodyText"/>
        <w:spacing w:before="11"/>
        <w:rPr>
          <w:sz w:val="14"/>
        </w:rPr>
      </w:pPr>
    </w:p>
    <w:p w14:paraId="4F1CC26A" w14:textId="77777777" w:rsidR="00592C86" w:rsidRDefault="00000000">
      <w:pPr>
        <w:pStyle w:val="BodyText"/>
        <w:spacing w:before="93" w:line="276" w:lineRule="auto"/>
        <w:ind w:left="132" w:right="306"/>
      </w:pPr>
      <w:r>
        <w:t>Students enrolled in either the Study Abroad or National Student Exchange programs may be eligible for the WUE tuition rate. Tuition rates will be based on the type of program in which students are participating. In general, students paying tuition to NAU will be eligible to receive the WUE tuition rate. Students paying tuition to their exchange institution will be responsible for the tuition</w:t>
      </w:r>
      <w:r>
        <w:rPr>
          <w:spacing w:val="-42"/>
        </w:rPr>
        <w:t xml:space="preserve"> </w:t>
      </w:r>
      <w:r>
        <w:t>rate offered through that</w:t>
      </w:r>
      <w:r>
        <w:rPr>
          <w:spacing w:val="-9"/>
        </w:rPr>
        <w:t xml:space="preserve"> </w:t>
      </w:r>
      <w:r>
        <w:t>program.</w:t>
      </w:r>
    </w:p>
    <w:p w14:paraId="4F1CC26B" w14:textId="77777777" w:rsidR="00592C86" w:rsidRDefault="00592C86">
      <w:pPr>
        <w:pStyle w:val="BodyText"/>
        <w:spacing w:before="1"/>
        <w:rPr>
          <w:sz w:val="21"/>
        </w:rPr>
      </w:pPr>
    </w:p>
    <w:p w14:paraId="4F1CC26C" w14:textId="77777777" w:rsidR="00592C86" w:rsidRDefault="00000000">
      <w:pPr>
        <w:pStyle w:val="Heading1"/>
        <w:rPr>
          <w:rFonts w:ascii="Arial"/>
        </w:rPr>
      </w:pPr>
      <w:r>
        <w:rPr>
          <w:rFonts w:ascii="Arial"/>
          <w:u w:val="single"/>
        </w:rPr>
        <w:t>Petitioning for Arizona Residency</w:t>
      </w:r>
    </w:p>
    <w:p w14:paraId="4F1CC26D" w14:textId="77777777" w:rsidR="00592C86" w:rsidRDefault="00592C86">
      <w:pPr>
        <w:pStyle w:val="BodyText"/>
        <w:rPr>
          <w:sz w:val="17"/>
        </w:rPr>
      </w:pPr>
    </w:p>
    <w:p w14:paraId="4F1CC26E" w14:textId="77777777" w:rsidR="00592C86" w:rsidRDefault="00000000">
      <w:pPr>
        <w:pStyle w:val="BodyText"/>
        <w:spacing w:before="93" w:line="276" w:lineRule="auto"/>
        <w:ind w:left="132" w:right="306"/>
      </w:pPr>
      <w:r>
        <w:t>Students establishing Residency must forfeit WUE after they begin the process to establish domicile by obtaining an Arizona driver’s license and address and may not re-gain WUE eligibility.</w:t>
      </w:r>
    </w:p>
    <w:p w14:paraId="4F1CC26F" w14:textId="77777777" w:rsidR="00592C86" w:rsidRDefault="00592C86">
      <w:pPr>
        <w:pStyle w:val="BodyText"/>
        <w:spacing w:before="5"/>
        <w:rPr>
          <w:sz w:val="25"/>
        </w:rPr>
      </w:pPr>
    </w:p>
    <w:p w14:paraId="4F1CC270" w14:textId="77777777" w:rsidR="00592C86" w:rsidRDefault="00000000">
      <w:pPr>
        <w:pStyle w:val="BodyText"/>
        <w:ind w:left="132"/>
      </w:pPr>
      <w:r>
        <w:rPr>
          <w:u w:val="single"/>
        </w:rPr>
        <w:t>Non-domestic Students attending NAU on an educational Visa</w:t>
      </w:r>
    </w:p>
    <w:p w14:paraId="4F1CC271" w14:textId="77777777" w:rsidR="00592C86" w:rsidRDefault="00592C86">
      <w:pPr>
        <w:pStyle w:val="BodyText"/>
        <w:spacing w:before="4"/>
        <w:rPr>
          <w:sz w:val="20"/>
        </w:rPr>
      </w:pPr>
    </w:p>
    <w:p w14:paraId="4F1CC272" w14:textId="77777777" w:rsidR="00592C86" w:rsidRDefault="00000000">
      <w:pPr>
        <w:pStyle w:val="BodyText"/>
        <w:spacing w:before="93" w:line="276" w:lineRule="auto"/>
        <w:ind w:left="132" w:right="366"/>
      </w:pPr>
      <w:r>
        <w:t>Students admitted through the Center for International Education and are here on a F-1/J-1 Visa for educational purposes are not eligible for WUE.</w:t>
      </w:r>
    </w:p>
    <w:p w14:paraId="4F1CC273" w14:textId="77777777" w:rsidR="00592C86" w:rsidRDefault="00592C86">
      <w:pPr>
        <w:pStyle w:val="BodyText"/>
        <w:rPr>
          <w:sz w:val="24"/>
        </w:rPr>
      </w:pPr>
    </w:p>
    <w:p w14:paraId="4F1CC274" w14:textId="77777777" w:rsidR="00592C86" w:rsidRDefault="00592C86">
      <w:pPr>
        <w:pStyle w:val="BodyText"/>
        <w:spacing w:before="4"/>
        <w:rPr>
          <w:sz w:val="30"/>
        </w:rPr>
      </w:pPr>
    </w:p>
    <w:p w14:paraId="4F1CC275" w14:textId="77777777" w:rsidR="00592C86" w:rsidRDefault="00000000">
      <w:pPr>
        <w:pStyle w:val="Heading2"/>
        <w:ind w:left="132"/>
      </w:pPr>
      <w:r>
        <w:rPr>
          <w:color w:val="172755"/>
          <w:sz w:val="28"/>
        </w:rPr>
        <w:t>R</w:t>
      </w:r>
      <w:r>
        <w:rPr>
          <w:color w:val="172755"/>
        </w:rPr>
        <w:t>ESPONSIBILITIES</w:t>
      </w:r>
    </w:p>
    <w:p w14:paraId="4F1CC276" w14:textId="77777777" w:rsidR="00592C86" w:rsidRDefault="00000000">
      <w:pPr>
        <w:pStyle w:val="ListParagraph"/>
        <w:numPr>
          <w:ilvl w:val="0"/>
          <w:numId w:val="3"/>
        </w:numPr>
        <w:tabs>
          <w:tab w:val="left" w:pos="852"/>
          <w:tab w:val="left" w:pos="853"/>
        </w:tabs>
        <w:spacing w:before="229" w:line="240" w:lineRule="auto"/>
        <w:ind w:right="680"/>
        <w:rPr>
          <w:sz w:val="20"/>
        </w:rPr>
      </w:pPr>
      <w:r>
        <w:rPr>
          <w:sz w:val="20"/>
        </w:rPr>
        <w:t>University Admissions Processing – Maintain admission processes to add new eligible students</w:t>
      </w:r>
      <w:r>
        <w:rPr>
          <w:spacing w:val="-24"/>
          <w:sz w:val="20"/>
        </w:rPr>
        <w:t xml:space="preserve"> </w:t>
      </w:r>
      <w:r>
        <w:rPr>
          <w:sz w:val="20"/>
        </w:rPr>
        <w:t>to WUE.</w:t>
      </w:r>
    </w:p>
    <w:p w14:paraId="4F1CC277" w14:textId="77777777" w:rsidR="00592C86" w:rsidRDefault="00000000">
      <w:pPr>
        <w:pStyle w:val="ListParagraph"/>
        <w:numPr>
          <w:ilvl w:val="0"/>
          <w:numId w:val="3"/>
        </w:numPr>
        <w:tabs>
          <w:tab w:val="left" w:pos="852"/>
          <w:tab w:val="left" w:pos="853"/>
        </w:tabs>
        <w:rPr>
          <w:sz w:val="20"/>
        </w:rPr>
      </w:pPr>
      <w:r>
        <w:rPr>
          <w:sz w:val="20"/>
        </w:rPr>
        <w:t>Office of the Registrar - Maintain processes WUE processes for continuing</w:t>
      </w:r>
      <w:r>
        <w:rPr>
          <w:spacing w:val="-19"/>
          <w:sz w:val="20"/>
        </w:rPr>
        <w:t xml:space="preserve"> </w:t>
      </w:r>
      <w:r>
        <w:rPr>
          <w:sz w:val="20"/>
        </w:rPr>
        <w:t>students.</w:t>
      </w:r>
    </w:p>
    <w:p w14:paraId="4F1CC278" w14:textId="77777777" w:rsidR="00592C86" w:rsidRDefault="00000000">
      <w:pPr>
        <w:pStyle w:val="ListParagraph"/>
        <w:numPr>
          <w:ilvl w:val="0"/>
          <w:numId w:val="3"/>
        </w:numPr>
        <w:tabs>
          <w:tab w:val="left" w:pos="852"/>
          <w:tab w:val="left" w:pos="853"/>
        </w:tabs>
        <w:rPr>
          <w:sz w:val="20"/>
        </w:rPr>
      </w:pPr>
      <w:r>
        <w:rPr>
          <w:sz w:val="20"/>
        </w:rPr>
        <w:t>Student and Departmental Account Services – Maintain and set up WUE</w:t>
      </w:r>
      <w:r>
        <w:rPr>
          <w:spacing w:val="-20"/>
          <w:sz w:val="20"/>
        </w:rPr>
        <w:t xml:space="preserve"> </w:t>
      </w:r>
      <w:r>
        <w:rPr>
          <w:sz w:val="20"/>
        </w:rPr>
        <w:t>tuition.</w:t>
      </w:r>
    </w:p>
    <w:p w14:paraId="4F1CC279" w14:textId="77777777" w:rsidR="00592C86" w:rsidRDefault="00000000">
      <w:pPr>
        <w:pStyle w:val="ListParagraph"/>
        <w:numPr>
          <w:ilvl w:val="0"/>
          <w:numId w:val="3"/>
        </w:numPr>
        <w:tabs>
          <w:tab w:val="left" w:pos="852"/>
          <w:tab w:val="left" w:pos="853"/>
        </w:tabs>
        <w:rPr>
          <w:sz w:val="20"/>
        </w:rPr>
      </w:pPr>
      <w:r>
        <w:rPr>
          <w:sz w:val="20"/>
        </w:rPr>
        <w:t>Office of Scholarship and Financial Aid – Adjust financial aid based on WUE</w:t>
      </w:r>
      <w:r>
        <w:rPr>
          <w:spacing w:val="-25"/>
          <w:sz w:val="20"/>
        </w:rPr>
        <w:t xml:space="preserve"> </w:t>
      </w:r>
      <w:r>
        <w:rPr>
          <w:sz w:val="20"/>
        </w:rPr>
        <w:t>eligibility.</w:t>
      </w:r>
    </w:p>
    <w:p w14:paraId="4F1CC27A" w14:textId="77777777" w:rsidR="00592C86" w:rsidRDefault="00000000">
      <w:pPr>
        <w:pStyle w:val="ListParagraph"/>
        <w:numPr>
          <w:ilvl w:val="0"/>
          <w:numId w:val="3"/>
        </w:numPr>
        <w:tabs>
          <w:tab w:val="left" w:pos="852"/>
          <w:tab w:val="left" w:pos="853"/>
        </w:tabs>
        <w:rPr>
          <w:sz w:val="20"/>
        </w:rPr>
      </w:pPr>
      <w:r>
        <w:rPr>
          <w:sz w:val="20"/>
        </w:rPr>
        <w:t>Student Service Center – Remove WUE student group when a student begins the petition</w:t>
      </w:r>
      <w:r>
        <w:rPr>
          <w:spacing w:val="-25"/>
          <w:sz w:val="20"/>
        </w:rPr>
        <w:t xml:space="preserve"> </w:t>
      </w:r>
      <w:r>
        <w:rPr>
          <w:sz w:val="20"/>
        </w:rPr>
        <w:t>process.</w:t>
      </w:r>
    </w:p>
    <w:p w14:paraId="4F1CC27B" w14:textId="77777777" w:rsidR="00592C86" w:rsidRDefault="00592C86">
      <w:pPr>
        <w:spacing w:line="244" w:lineRule="exact"/>
        <w:rPr>
          <w:sz w:val="20"/>
        </w:rPr>
        <w:sectPr w:rsidR="00592C86">
          <w:headerReference w:type="default" r:id="rId13"/>
          <w:pgSz w:w="12240" w:h="15840"/>
          <w:pgMar w:top="1280" w:right="1040" w:bottom="1000" w:left="1020" w:header="1021" w:footer="802" w:gutter="0"/>
          <w:cols w:space="720"/>
        </w:sectPr>
      </w:pPr>
    </w:p>
    <w:p w14:paraId="4F1CC27C" w14:textId="77777777" w:rsidR="00592C86" w:rsidRDefault="00592C86">
      <w:pPr>
        <w:pStyle w:val="BodyText"/>
        <w:spacing w:before="7"/>
        <w:rPr>
          <w:sz w:val="17"/>
        </w:rPr>
      </w:pPr>
    </w:p>
    <w:p w14:paraId="4F1CC27D" w14:textId="77777777" w:rsidR="00592C86" w:rsidRDefault="00000000">
      <w:pPr>
        <w:spacing w:before="93"/>
        <w:ind w:left="492"/>
        <w:rPr>
          <w:b/>
        </w:rPr>
      </w:pPr>
      <w:r>
        <w:rPr>
          <w:b/>
        </w:rPr>
        <w:t>Admission/Application:</w:t>
      </w:r>
    </w:p>
    <w:p w14:paraId="4F1CC27E" w14:textId="77777777" w:rsidR="00592C86" w:rsidRDefault="00000000">
      <w:pPr>
        <w:pStyle w:val="ListParagraph"/>
        <w:numPr>
          <w:ilvl w:val="0"/>
          <w:numId w:val="2"/>
        </w:numPr>
        <w:tabs>
          <w:tab w:val="left" w:pos="853"/>
        </w:tabs>
        <w:spacing w:before="39" w:line="276" w:lineRule="auto"/>
        <w:ind w:right="1815"/>
      </w:pPr>
      <w:r>
        <w:t>All students are added to WUE based on the home address they enter on the admissions application; no additional application is</w:t>
      </w:r>
      <w:r>
        <w:rPr>
          <w:spacing w:val="-15"/>
        </w:rPr>
        <w:t xml:space="preserve"> </w:t>
      </w:r>
      <w:r>
        <w:t>necessary.</w:t>
      </w:r>
    </w:p>
    <w:p w14:paraId="4F1CC27F" w14:textId="77777777" w:rsidR="00592C86" w:rsidRDefault="00000000">
      <w:pPr>
        <w:pStyle w:val="ListParagraph"/>
        <w:numPr>
          <w:ilvl w:val="0"/>
          <w:numId w:val="2"/>
        </w:numPr>
        <w:tabs>
          <w:tab w:val="left" w:pos="853"/>
        </w:tabs>
        <w:spacing w:before="2" w:line="273" w:lineRule="auto"/>
        <w:ind w:right="1764"/>
      </w:pPr>
      <w:r>
        <w:t>Each application is evaluated and the WUE student group is added during the admission</w:t>
      </w:r>
      <w:r>
        <w:rPr>
          <w:spacing w:val="-2"/>
        </w:rPr>
        <w:t xml:space="preserve"> </w:t>
      </w:r>
      <w:r>
        <w:t>process.</w:t>
      </w:r>
    </w:p>
    <w:p w14:paraId="4F1CC280" w14:textId="77777777" w:rsidR="00592C86" w:rsidRDefault="00000000">
      <w:pPr>
        <w:pStyle w:val="ListParagraph"/>
        <w:numPr>
          <w:ilvl w:val="0"/>
          <w:numId w:val="2"/>
        </w:numPr>
        <w:tabs>
          <w:tab w:val="left" w:pos="853"/>
        </w:tabs>
        <w:spacing w:before="7" w:line="273" w:lineRule="auto"/>
        <w:ind w:right="762"/>
      </w:pPr>
      <w:r>
        <w:t>If an incorrect address is entered on the application the student must change their home address in LOUIE and contact the respective</w:t>
      </w:r>
      <w:r>
        <w:rPr>
          <w:spacing w:val="-14"/>
        </w:rPr>
        <w:t xml:space="preserve"> </w:t>
      </w:r>
      <w:r>
        <w:t>department.</w:t>
      </w:r>
    </w:p>
    <w:p w14:paraId="4F1CC281" w14:textId="77777777" w:rsidR="00592C86" w:rsidRDefault="00000000">
      <w:pPr>
        <w:pStyle w:val="ListParagraph"/>
        <w:numPr>
          <w:ilvl w:val="1"/>
          <w:numId w:val="2"/>
        </w:numPr>
        <w:tabs>
          <w:tab w:val="left" w:pos="1573"/>
        </w:tabs>
        <w:spacing w:before="7" w:line="273" w:lineRule="auto"/>
        <w:ind w:right="1642"/>
      </w:pPr>
      <w:r>
        <w:t>University Admissions Processing before the first day of the first term of enrollment, and the Office of the Registrar</w:t>
      </w:r>
      <w:r>
        <w:rPr>
          <w:spacing w:val="-19"/>
        </w:rPr>
        <w:t xml:space="preserve"> </w:t>
      </w:r>
      <w:r>
        <w:t>thereafter.</w:t>
      </w:r>
    </w:p>
    <w:p w14:paraId="4F1CC282" w14:textId="77777777" w:rsidR="00592C86" w:rsidRDefault="00000000">
      <w:pPr>
        <w:pStyle w:val="ListParagraph"/>
        <w:numPr>
          <w:ilvl w:val="1"/>
          <w:numId w:val="2"/>
        </w:numPr>
        <w:tabs>
          <w:tab w:val="left" w:pos="1573"/>
        </w:tabs>
        <w:spacing w:before="4" w:line="276" w:lineRule="auto"/>
        <w:ind w:right="887"/>
        <w:jc w:val="both"/>
      </w:pPr>
      <w:r>
        <w:t>The respective department will match the home address to the school district of graduation. If there is a discrepancy further verification and documents may be required.</w:t>
      </w:r>
    </w:p>
    <w:p w14:paraId="4F1CC283" w14:textId="77777777" w:rsidR="00592C86" w:rsidRDefault="00000000">
      <w:pPr>
        <w:pStyle w:val="ListParagraph"/>
        <w:numPr>
          <w:ilvl w:val="0"/>
          <w:numId w:val="2"/>
        </w:numPr>
        <w:tabs>
          <w:tab w:val="left" w:pos="853"/>
        </w:tabs>
        <w:spacing w:before="3" w:line="276" w:lineRule="auto"/>
        <w:ind w:right="765"/>
      </w:pPr>
      <w:r>
        <w:t>In cases where a student is being added to WUE after the first day of enrollment at NAU because they entered an incorrect address; WUE will be added for the current or next available fall/spring term. WUE is not added to term/semesters that have been completed.</w:t>
      </w:r>
    </w:p>
    <w:p w14:paraId="4F1CC284" w14:textId="77777777" w:rsidR="00592C86" w:rsidRDefault="00592C86">
      <w:pPr>
        <w:pStyle w:val="BodyText"/>
        <w:spacing w:before="5"/>
        <w:rPr>
          <w:sz w:val="25"/>
        </w:rPr>
      </w:pPr>
    </w:p>
    <w:p w14:paraId="4F1CC285" w14:textId="77777777" w:rsidR="00592C86" w:rsidRDefault="00000000">
      <w:pPr>
        <w:pStyle w:val="Heading2"/>
        <w:spacing w:before="1"/>
      </w:pPr>
      <w:r>
        <w:t>Campus Change:</w:t>
      </w:r>
    </w:p>
    <w:p w14:paraId="4F1CC286" w14:textId="77777777" w:rsidR="00592C86" w:rsidRDefault="00000000">
      <w:pPr>
        <w:pStyle w:val="ListParagraph"/>
        <w:numPr>
          <w:ilvl w:val="0"/>
          <w:numId w:val="1"/>
        </w:numPr>
        <w:tabs>
          <w:tab w:val="left" w:pos="853"/>
        </w:tabs>
        <w:spacing w:before="40" w:line="276" w:lineRule="auto"/>
        <w:ind w:right="813"/>
      </w:pPr>
      <w:r>
        <w:t>A continuing student who changes from the Flagstaff campus to another campus will be inactivated from</w:t>
      </w:r>
      <w:r>
        <w:rPr>
          <w:spacing w:val="-4"/>
        </w:rPr>
        <w:t xml:space="preserve"> </w:t>
      </w:r>
      <w:r>
        <w:t>WUE.</w:t>
      </w:r>
    </w:p>
    <w:p w14:paraId="4F1CC287" w14:textId="77777777" w:rsidR="00592C86" w:rsidRDefault="00000000">
      <w:pPr>
        <w:pStyle w:val="ListParagraph"/>
        <w:numPr>
          <w:ilvl w:val="0"/>
          <w:numId w:val="1"/>
        </w:numPr>
        <w:tabs>
          <w:tab w:val="left" w:pos="853"/>
        </w:tabs>
        <w:spacing w:before="3" w:line="276" w:lineRule="auto"/>
        <w:ind w:right="751"/>
      </w:pPr>
      <w:r>
        <w:t>A continuing student who completes a campus change to the Flagstaff campus will have WUE evaluated during the campus change process based on home</w:t>
      </w:r>
      <w:r>
        <w:rPr>
          <w:spacing w:val="-17"/>
        </w:rPr>
        <w:t xml:space="preserve"> </w:t>
      </w:r>
      <w:r>
        <w:t>address.</w:t>
      </w:r>
    </w:p>
    <w:p w14:paraId="4F1CC288" w14:textId="77777777" w:rsidR="00592C86" w:rsidRDefault="00000000">
      <w:pPr>
        <w:pStyle w:val="Heading2"/>
        <w:spacing w:before="3"/>
      </w:pPr>
      <w:r>
        <w:t>Petitioning for Residency and forfeiting WUE</w:t>
      </w:r>
    </w:p>
    <w:p w14:paraId="4F1CC289" w14:textId="77777777" w:rsidR="00592C86" w:rsidRDefault="00000000">
      <w:pPr>
        <w:pStyle w:val="BodyText"/>
        <w:tabs>
          <w:tab w:val="left" w:pos="914"/>
        </w:tabs>
        <w:spacing w:before="37" w:line="276" w:lineRule="auto"/>
        <w:ind w:left="852" w:right="770" w:hanging="360"/>
      </w:pPr>
      <w:r>
        <w:t>1.</w:t>
      </w:r>
      <w:r>
        <w:tab/>
      </w:r>
      <w:r>
        <w:tab/>
        <w:t>A student who is petitioning to become an Arizona Resident should consult</w:t>
      </w:r>
      <w:r>
        <w:rPr>
          <w:spacing w:val="-21"/>
        </w:rPr>
        <w:t xml:space="preserve"> </w:t>
      </w:r>
      <w:r>
        <w:t>with</w:t>
      </w:r>
      <w:r>
        <w:rPr>
          <w:spacing w:val="-3"/>
        </w:rPr>
        <w:t xml:space="preserve"> </w:t>
      </w:r>
      <w:r>
        <w:t>the Student Service Center about the Residency requirements. If they choose to petition for residency, they are required to relinquish WUE while they establish domicile after changing their driver’s license and home</w:t>
      </w:r>
      <w:r>
        <w:rPr>
          <w:spacing w:val="-11"/>
        </w:rPr>
        <w:t xml:space="preserve"> </w:t>
      </w:r>
      <w:r>
        <w:t>address.</w:t>
      </w:r>
    </w:p>
    <w:p w14:paraId="4F1CC28A" w14:textId="77777777" w:rsidR="00592C86" w:rsidRDefault="00592C86">
      <w:pPr>
        <w:pStyle w:val="BodyText"/>
        <w:spacing w:before="7"/>
        <w:rPr>
          <w:sz w:val="25"/>
        </w:rPr>
      </w:pPr>
    </w:p>
    <w:p w14:paraId="4F1CC28B" w14:textId="77777777" w:rsidR="00592C86" w:rsidRDefault="00000000">
      <w:pPr>
        <w:pStyle w:val="Heading2"/>
      </w:pPr>
      <w:r>
        <w:t>Readmission:</w:t>
      </w:r>
    </w:p>
    <w:p w14:paraId="4F1CC28C" w14:textId="77777777" w:rsidR="00592C86" w:rsidRDefault="00000000">
      <w:pPr>
        <w:pStyle w:val="BodyText"/>
        <w:tabs>
          <w:tab w:val="left" w:pos="914"/>
        </w:tabs>
        <w:spacing w:before="39" w:line="276" w:lineRule="auto"/>
        <w:ind w:left="852" w:right="1144" w:hanging="360"/>
      </w:pPr>
      <w:r>
        <w:t>1.</w:t>
      </w:r>
      <w:r>
        <w:tab/>
      </w:r>
      <w:r>
        <w:tab/>
        <w:t>A student being readmitted to NAU will be added to WUE if they have a</w:t>
      </w:r>
      <w:r>
        <w:rPr>
          <w:spacing w:val="-26"/>
        </w:rPr>
        <w:t xml:space="preserve"> </w:t>
      </w:r>
      <w:r>
        <w:t>WUE</w:t>
      </w:r>
      <w:r>
        <w:rPr>
          <w:spacing w:val="-1"/>
        </w:rPr>
        <w:t xml:space="preserve"> </w:t>
      </w:r>
      <w:r>
        <w:t>home address.</w:t>
      </w:r>
    </w:p>
    <w:p w14:paraId="4F1CC28D" w14:textId="77777777" w:rsidR="00592C86" w:rsidRDefault="00592C86">
      <w:pPr>
        <w:pStyle w:val="BodyText"/>
        <w:spacing w:before="11"/>
        <w:rPr>
          <w:sz w:val="28"/>
        </w:rPr>
      </w:pPr>
    </w:p>
    <w:p w14:paraId="4F1CC28E" w14:textId="77777777" w:rsidR="00592C86" w:rsidRDefault="00000000">
      <w:pPr>
        <w:pStyle w:val="Heading2"/>
        <w:ind w:left="115" w:right="7313"/>
        <w:jc w:val="center"/>
      </w:pPr>
      <w:r>
        <w:rPr>
          <w:color w:val="172755"/>
          <w:sz w:val="28"/>
        </w:rPr>
        <w:t>R</w:t>
      </w:r>
      <w:r>
        <w:rPr>
          <w:color w:val="172755"/>
        </w:rPr>
        <w:t xml:space="preserve">ELATED </w:t>
      </w:r>
      <w:r>
        <w:rPr>
          <w:color w:val="172755"/>
          <w:sz w:val="28"/>
        </w:rPr>
        <w:t>I</w:t>
      </w:r>
      <w:r>
        <w:rPr>
          <w:color w:val="172755"/>
        </w:rPr>
        <w:t>NFORMATION</w:t>
      </w:r>
    </w:p>
    <w:p w14:paraId="4F1CC28F" w14:textId="77777777" w:rsidR="00592C86" w:rsidRDefault="00592C86">
      <w:pPr>
        <w:pStyle w:val="BodyText"/>
        <w:spacing w:before="7"/>
        <w:rPr>
          <w:b/>
          <w:sz w:val="23"/>
        </w:rPr>
      </w:pPr>
    </w:p>
    <w:p w14:paraId="4F1CC290" w14:textId="77777777" w:rsidR="00592C86" w:rsidRDefault="00000000">
      <w:pPr>
        <w:ind w:left="492"/>
        <w:rPr>
          <w:b/>
        </w:rPr>
      </w:pPr>
      <w:r>
        <w:rPr>
          <w:b/>
          <w:color w:val="172755"/>
        </w:rPr>
        <w:t>Forms or Tools</w:t>
      </w:r>
    </w:p>
    <w:p w14:paraId="4F1CC291" w14:textId="77777777" w:rsidR="00592C86" w:rsidRDefault="00592C86">
      <w:pPr>
        <w:pStyle w:val="BodyText"/>
        <w:spacing w:before="8"/>
        <w:rPr>
          <w:b/>
          <w:sz w:val="19"/>
        </w:rPr>
      </w:pPr>
    </w:p>
    <w:p w14:paraId="4F1CC292" w14:textId="77777777" w:rsidR="00592C86" w:rsidRDefault="00000000">
      <w:pPr>
        <w:ind w:left="852"/>
        <w:rPr>
          <w:i/>
          <w:sz w:val="20"/>
        </w:rPr>
      </w:pPr>
      <w:r>
        <w:rPr>
          <w:sz w:val="20"/>
        </w:rPr>
        <w:t>There are no forms or tools associated with this policy</w:t>
      </w:r>
      <w:r>
        <w:rPr>
          <w:i/>
          <w:sz w:val="20"/>
        </w:rPr>
        <w:t>.</w:t>
      </w:r>
    </w:p>
    <w:p w14:paraId="4F1CC293" w14:textId="77777777" w:rsidR="00592C86" w:rsidRDefault="00592C86">
      <w:pPr>
        <w:pStyle w:val="BodyText"/>
        <w:spacing w:before="7"/>
        <w:rPr>
          <w:i/>
          <w:sz w:val="23"/>
        </w:rPr>
      </w:pPr>
    </w:p>
    <w:p w14:paraId="4F1CC294" w14:textId="77777777" w:rsidR="00592C86" w:rsidRDefault="00000000">
      <w:pPr>
        <w:pStyle w:val="Heading2"/>
      </w:pPr>
      <w:r>
        <w:rPr>
          <w:color w:val="172755"/>
        </w:rPr>
        <w:t>Cross-References</w:t>
      </w:r>
    </w:p>
    <w:p w14:paraId="4F1CC295" w14:textId="77777777" w:rsidR="00592C86" w:rsidRDefault="00592C86">
      <w:pPr>
        <w:pStyle w:val="BodyText"/>
        <w:spacing w:before="10"/>
        <w:rPr>
          <w:b/>
          <w:sz w:val="19"/>
        </w:rPr>
      </w:pPr>
    </w:p>
    <w:p w14:paraId="4F1CC296" w14:textId="77777777" w:rsidR="00592C86" w:rsidRDefault="00000000">
      <w:pPr>
        <w:ind w:left="852"/>
        <w:rPr>
          <w:i/>
          <w:sz w:val="20"/>
        </w:rPr>
      </w:pPr>
      <w:r>
        <w:rPr>
          <w:sz w:val="20"/>
        </w:rPr>
        <w:t>There are no cross-references associated with this policy</w:t>
      </w:r>
      <w:r>
        <w:rPr>
          <w:i/>
          <w:sz w:val="20"/>
        </w:rPr>
        <w:t>.</w:t>
      </w:r>
    </w:p>
    <w:p w14:paraId="4F1CC297" w14:textId="77777777" w:rsidR="00592C86" w:rsidRDefault="00592C86">
      <w:pPr>
        <w:pStyle w:val="BodyText"/>
        <w:spacing w:before="7"/>
        <w:rPr>
          <w:i/>
          <w:sz w:val="23"/>
        </w:rPr>
      </w:pPr>
    </w:p>
    <w:p w14:paraId="4F1CC298" w14:textId="77777777" w:rsidR="00592C86" w:rsidRDefault="00000000">
      <w:pPr>
        <w:pStyle w:val="Heading2"/>
      </w:pPr>
      <w:r>
        <w:rPr>
          <w:color w:val="172755"/>
        </w:rPr>
        <w:t>Sources</w:t>
      </w:r>
    </w:p>
    <w:p w14:paraId="4F1CC299" w14:textId="77777777" w:rsidR="00592C86" w:rsidRDefault="00592C86">
      <w:pPr>
        <w:pStyle w:val="BodyText"/>
        <w:spacing w:before="7"/>
        <w:rPr>
          <w:b/>
          <w:sz w:val="19"/>
        </w:rPr>
      </w:pPr>
    </w:p>
    <w:p w14:paraId="4F1CC29A" w14:textId="77777777" w:rsidR="00592C86" w:rsidRDefault="00000000">
      <w:pPr>
        <w:ind w:left="852"/>
        <w:rPr>
          <w:i/>
          <w:sz w:val="20"/>
        </w:rPr>
      </w:pPr>
      <w:r>
        <w:rPr>
          <w:sz w:val="20"/>
        </w:rPr>
        <w:t>There are no external sources associated with this policy</w:t>
      </w:r>
      <w:r>
        <w:rPr>
          <w:i/>
          <w:sz w:val="20"/>
        </w:rPr>
        <w:t>.</w:t>
      </w:r>
    </w:p>
    <w:p w14:paraId="4F1CC29B" w14:textId="77777777" w:rsidR="00592C86" w:rsidRDefault="00592C86">
      <w:pPr>
        <w:rPr>
          <w:sz w:val="20"/>
        </w:rPr>
        <w:sectPr w:rsidR="00592C86">
          <w:headerReference w:type="default" r:id="rId14"/>
          <w:pgSz w:w="12240" w:h="15840"/>
          <w:pgMar w:top="1320" w:right="1040" w:bottom="1000" w:left="1020" w:header="1020" w:footer="802" w:gutter="0"/>
          <w:cols w:space="720"/>
        </w:sectPr>
      </w:pPr>
    </w:p>
    <w:p w14:paraId="4F1CC29C" w14:textId="77777777" w:rsidR="00592C86" w:rsidRDefault="00592C86">
      <w:pPr>
        <w:pStyle w:val="BodyText"/>
        <w:rPr>
          <w:i/>
          <w:sz w:val="12"/>
        </w:rPr>
      </w:pPr>
    </w:p>
    <w:p w14:paraId="4F1CC29D" w14:textId="77777777" w:rsidR="00592C86" w:rsidRDefault="00000000">
      <w:pPr>
        <w:spacing w:before="93"/>
        <w:ind w:left="852"/>
        <w:rPr>
          <w:i/>
          <w:sz w:val="20"/>
        </w:rPr>
      </w:pPr>
      <w:r>
        <w:rPr>
          <w:sz w:val="20"/>
        </w:rPr>
        <w:t>None</w:t>
      </w:r>
      <w:r>
        <w:rPr>
          <w:i/>
          <w:sz w:val="20"/>
        </w:rPr>
        <w:t>.</w:t>
      </w:r>
    </w:p>
    <w:p w14:paraId="4F1CC29E" w14:textId="77777777" w:rsidR="00592C86" w:rsidRDefault="00592C86">
      <w:pPr>
        <w:pStyle w:val="BodyText"/>
        <w:rPr>
          <w:i/>
          <w:sz w:val="20"/>
        </w:rPr>
      </w:pPr>
    </w:p>
    <w:p w14:paraId="4F1CC29F" w14:textId="77777777" w:rsidR="00592C86" w:rsidRDefault="00592C86">
      <w:pPr>
        <w:pStyle w:val="BodyText"/>
        <w:rPr>
          <w:i/>
          <w:sz w:val="21"/>
        </w:rPr>
      </w:pPr>
    </w:p>
    <w:p w14:paraId="4F1CC2A0" w14:textId="77777777" w:rsidR="00592C86" w:rsidRDefault="00000000">
      <w:pPr>
        <w:spacing w:before="1"/>
        <w:ind w:left="2390" w:right="1598" w:hanging="756"/>
        <w:rPr>
          <w:sz w:val="16"/>
        </w:rPr>
      </w:pPr>
      <w:r>
        <w:rPr>
          <w:color w:val="171F40"/>
          <w:sz w:val="16"/>
        </w:rPr>
        <w:t>*</w:t>
      </w:r>
      <w:r>
        <w:rPr>
          <w:color w:val="171F40"/>
          <w:sz w:val="16"/>
          <w:u w:val="single" w:color="171F40"/>
        </w:rPr>
        <w:t>Disclaimer</w:t>
      </w:r>
      <w:r>
        <w:rPr>
          <w:color w:val="171F40"/>
          <w:sz w:val="16"/>
        </w:rPr>
        <w:t>: all documents, links, or other materials included in this policy’s appendix are provided solely for the user’s convenience and are not part of official University policy.</w:t>
      </w:r>
    </w:p>
    <w:sectPr w:rsidR="00592C86">
      <w:headerReference w:type="default" r:id="rId15"/>
      <w:pgSz w:w="12240" w:h="15840"/>
      <w:pgMar w:top="1320" w:right="1040" w:bottom="1000" w:left="1020" w:header="1020"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0AD87" w14:textId="77777777" w:rsidR="0030273F" w:rsidRDefault="0030273F">
      <w:r>
        <w:separator/>
      </w:r>
    </w:p>
  </w:endnote>
  <w:endnote w:type="continuationSeparator" w:id="0">
    <w:p w14:paraId="4AB1BA2D" w14:textId="77777777" w:rsidR="0030273F" w:rsidRDefault="003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C2A4" w14:textId="77777777" w:rsidR="00592C86" w:rsidRDefault="00000000">
    <w:pPr>
      <w:pStyle w:val="BodyText"/>
      <w:spacing w:line="14" w:lineRule="auto"/>
      <w:rPr>
        <w:sz w:val="20"/>
      </w:rPr>
    </w:pPr>
    <w:r>
      <w:pict w14:anchorId="4F1CC2A9">
        <v:line id="_x0000_s1031" style="position:absolute;z-index:-5968;mso-position-horizontal-relative:page;mso-position-vertical-relative:page" from="57pt,739.4pt" to="553.8pt,739.4pt" strokecolor="#171f40" strokeweight="1pt">
          <w10:wrap anchorx="page" anchory="page"/>
        </v:line>
      </w:pict>
    </w:r>
    <w:r>
      <w:pict w14:anchorId="4F1CC2AA">
        <v:shapetype id="_x0000_t202" coordsize="21600,21600" o:spt="202" path="m,l,21600r21600,l21600,xe">
          <v:stroke joinstyle="miter"/>
          <v:path gradientshapeok="t" o:connecttype="rect"/>
        </v:shapetype>
        <v:shape id="_x0000_s1030" type="#_x0000_t202" style="position:absolute;margin-left:56.6pt;margin-top:747.95pt;width:235.5pt;height:11pt;z-index:-5944;mso-position-horizontal-relative:page;mso-position-vertical-relative:page" filled="f" stroked="f">
          <v:textbox inset="0,0,0,0">
            <w:txbxContent>
              <w:p w14:paraId="4F1CC2B0" w14:textId="77777777" w:rsidR="00592C86" w:rsidRDefault="00000000">
                <w:pPr>
                  <w:spacing w:before="15"/>
                  <w:ind w:left="20"/>
                  <w:rPr>
                    <w:sz w:val="16"/>
                  </w:rPr>
                </w:pPr>
                <w:r>
                  <w:rPr>
                    <w:color w:val="172755"/>
                    <w:sz w:val="16"/>
                  </w:rPr>
                  <w:t>Academic and Faculty Affairs / Western Undergraduate Exchange</w:t>
                </w:r>
              </w:p>
            </w:txbxContent>
          </v:textbox>
          <w10:wrap anchorx="page" anchory="page"/>
        </v:shape>
      </w:pict>
    </w:r>
    <w:r>
      <w:pict w14:anchorId="4F1CC2AB">
        <v:shape id="_x0000_s1029" type="#_x0000_t202" style="position:absolute;margin-left:512.45pt;margin-top:747.95pt;width:43.1pt;height:11pt;z-index:-5920;mso-position-horizontal-relative:page;mso-position-vertical-relative:page" filled="f" stroked="f">
          <v:textbox inset="0,0,0,0">
            <w:txbxContent>
              <w:p w14:paraId="4F1CC2B1" w14:textId="77777777" w:rsidR="00592C86" w:rsidRDefault="00000000">
                <w:pPr>
                  <w:spacing w:before="15"/>
                  <w:ind w:left="20"/>
                  <w:rPr>
                    <w:sz w:val="16"/>
                  </w:rPr>
                </w:pPr>
                <w:r>
                  <w:rPr>
                    <w:color w:val="172755"/>
                    <w:sz w:val="16"/>
                  </w:rPr>
                  <w:t xml:space="preserve">Page </w:t>
                </w:r>
                <w:r>
                  <w:fldChar w:fldCharType="begin"/>
                </w:r>
                <w:r>
                  <w:rPr>
                    <w:color w:val="172755"/>
                    <w:sz w:val="16"/>
                  </w:rPr>
                  <w:instrText xml:space="preserve"> PAGE </w:instrText>
                </w:r>
                <w:r>
                  <w:fldChar w:fldCharType="separate"/>
                </w:r>
                <w:r>
                  <w:t>1</w:t>
                </w:r>
                <w:r>
                  <w:fldChar w:fldCharType="end"/>
                </w:r>
                <w:r>
                  <w:rPr>
                    <w:color w:val="172755"/>
                    <w:sz w:val="16"/>
                  </w:rPr>
                  <w:t xml:space="preserve"> of 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773D6" w14:textId="77777777" w:rsidR="0030273F" w:rsidRDefault="0030273F">
      <w:r>
        <w:separator/>
      </w:r>
    </w:p>
  </w:footnote>
  <w:footnote w:type="continuationSeparator" w:id="0">
    <w:p w14:paraId="6634F317" w14:textId="77777777" w:rsidR="0030273F" w:rsidRDefault="003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C2A5" w14:textId="77777777" w:rsidR="00592C86" w:rsidRDefault="00000000">
    <w:pPr>
      <w:pStyle w:val="BodyText"/>
      <w:spacing w:line="14" w:lineRule="auto"/>
      <w:rPr>
        <w:sz w:val="20"/>
      </w:rPr>
    </w:pPr>
    <w:r>
      <w:pict w14:anchorId="4F1CC2AC">
        <v:shapetype id="_x0000_t202" coordsize="21600,21600" o:spt="202" path="m,l,21600r21600,l21600,xe">
          <v:stroke joinstyle="miter"/>
          <v:path gradientshapeok="t" o:connecttype="rect"/>
        </v:shapetype>
        <v:shape id="_x0000_s1028" type="#_x0000_t202" style="position:absolute;margin-left:56.6pt;margin-top:50.05pt;width:143pt;height:15.45pt;z-index:-5896;mso-position-horizontal-relative:page;mso-position-vertical-relative:page" filled="f" stroked="f">
          <v:textbox inset="0,0,0,0">
            <w:txbxContent>
              <w:p w14:paraId="4F1CC2B2" w14:textId="77777777" w:rsidR="00592C86" w:rsidRDefault="00000000">
                <w:pPr>
                  <w:spacing w:before="12"/>
                  <w:ind w:left="20"/>
                  <w:rPr>
                    <w:sz w:val="24"/>
                  </w:rPr>
                </w:pPr>
                <w:r>
                  <w:rPr>
                    <w:sz w:val="24"/>
                    <w:u w:val="single"/>
                  </w:rPr>
                  <w:t>Eligible Programs of Study</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C2A6" w14:textId="77777777" w:rsidR="00592C86" w:rsidRDefault="00000000">
    <w:pPr>
      <w:pStyle w:val="BodyText"/>
      <w:spacing w:line="14" w:lineRule="auto"/>
      <w:rPr>
        <w:sz w:val="20"/>
      </w:rPr>
    </w:pPr>
    <w:r>
      <w:pict w14:anchorId="4F1CC2AD">
        <v:shapetype id="_x0000_t202" coordsize="21600,21600" o:spt="202" path="m,l,21600r21600,l21600,xe">
          <v:stroke joinstyle="miter"/>
          <v:path gradientshapeok="t" o:connecttype="rect"/>
        </v:shapetype>
        <v:shape id="_x0000_s1027" type="#_x0000_t202" style="position:absolute;margin-left:56.6pt;margin-top:50.05pt;width:204.25pt;height:15.45pt;z-index:-5872;mso-position-horizontal-relative:page;mso-position-vertical-relative:page" filled="f" stroked="f">
          <v:textbox inset="0,0,0,0">
            <w:txbxContent>
              <w:p w14:paraId="4F1CC2B3" w14:textId="77777777" w:rsidR="00592C86" w:rsidRDefault="00000000">
                <w:pPr>
                  <w:spacing w:before="12"/>
                  <w:ind w:left="20"/>
                  <w:rPr>
                    <w:sz w:val="24"/>
                  </w:rPr>
                </w:pPr>
                <w:r>
                  <w:rPr>
                    <w:sz w:val="24"/>
                    <w:u w:val="single"/>
                  </w:rPr>
                  <w:t>Co-enrollment at Community Colleges</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C2A7" w14:textId="77777777" w:rsidR="00592C86" w:rsidRDefault="00000000">
    <w:pPr>
      <w:pStyle w:val="BodyText"/>
      <w:spacing w:line="14" w:lineRule="auto"/>
      <w:rPr>
        <w:sz w:val="20"/>
      </w:rPr>
    </w:pPr>
    <w:r>
      <w:pict w14:anchorId="4F1CC2AE">
        <v:shapetype id="_x0000_t202" coordsize="21600,21600" o:spt="202" path="m,l,21600r21600,l21600,xe">
          <v:stroke joinstyle="miter"/>
          <v:path gradientshapeok="t" o:connecttype="rect"/>
        </v:shapetype>
        <v:shape id="_x0000_s1026" type="#_x0000_t202" style="position:absolute;margin-left:56.6pt;margin-top:50pt;width:81.6pt;height:17.7pt;z-index:-5848;mso-position-horizontal-relative:page;mso-position-vertical-relative:page" filled="f" stroked="f">
          <v:textbox inset="0,0,0,0">
            <w:txbxContent>
              <w:p w14:paraId="4F1CC2B4" w14:textId="77777777" w:rsidR="00592C86" w:rsidRDefault="00000000">
                <w:pPr>
                  <w:spacing w:before="11"/>
                  <w:ind w:left="20"/>
                  <w:rPr>
                    <w:b/>
                  </w:rPr>
                </w:pPr>
                <w:r>
                  <w:rPr>
                    <w:b/>
                    <w:color w:val="172755"/>
                    <w:sz w:val="28"/>
                  </w:rPr>
                  <w:t>P</w:t>
                </w:r>
                <w:r>
                  <w:rPr>
                    <w:b/>
                    <w:color w:val="172755"/>
                  </w:rPr>
                  <w:t>ROCEDURES</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C2A8" w14:textId="77777777" w:rsidR="00592C86" w:rsidRDefault="00000000">
    <w:pPr>
      <w:pStyle w:val="BodyText"/>
      <w:spacing w:line="14" w:lineRule="auto"/>
      <w:rPr>
        <w:sz w:val="20"/>
      </w:rPr>
    </w:pPr>
    <w:r>
      <w:pict w14:anchorId="4F1CC2AF">
        <v:shapetype id="_x0000_t202" coordsize="21600,21600" o:spt="202" path="m,l,21600r21600,l21600,xe">
          <v:stroke joinstyle="miter"/>
          <v:path gradientshapeok="t" o:connecttype="rect"/>
        </v:shapetype>
        <v:shape id="_x0000_s1025" type="#_x0000_t202" style="position:absolute;margin-left:56.6pt;margin-top:50pt;width:65.85pt;height:17.7pt;z-index:-5824;mso-position-horizontal-relative:page;mso-position-vertical-relative:page" filled="f" stroked="f">
          <v:textbox inset="0,0,0,0">
            <w:txbxContent>
              <w:p w14:paraId="4F1CC2B5" w14:textId="77777777" w:rsidR="00592C86" w:rsidRDefault="00000000">
                <w:pPr>
                  <w:spacing w:before="11"/>
                  <w:ind w:left="20"/>
                  <w:rPr>
                    <w:b/>
                    <w:sz w:val="28"/>
                  </w:rPr>
                </w:pPr>
                <w:r>
                  <w:rPr>
                    <w:b/>
                    <w:color w:val="172755"/>
                    <w:sz w:val="28"/>
                  </w:rPr>
                  <w:t>A</w:t>
                </w:r>
                <w:r>
                  <w:rPr>
                    <w:b/>
                    <w:color w:val="172755"/>
                  </w:rPr>
                  <w:t>PPENDIX</w:t>
                </w:r>
                <w:r>
                  <w:rPr>
                    <w:b/>
                    <w:color w:val="172755"/>
                    <w:sz w:val="28"/>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25008"/>
    <w:multiLevelType w:val="hybridMultilevel"/>
    <w:tmpl w:val="1AB4C162"/>
    <w:lvl w:ilvl="0" w:tplc="80D61F1C">
      <w:numFmt w:val="bullet"/>
      <w:lvlText w:val=""/>
      <w:lvlJc w:val="left"/>
      <w:pPr>
        <w:ind w:left="852" w:hanging="360"/>
      </w:pPr>
      <w:rPr>
        <w:rFonts w:ascii="Symbol" w:eastAsia="Symbol" w:hAnsi="Symbol" w:cs="Symbol" w:hint="default"/>
        <w:w w:val="99"/>
        <w:sz w:val="20"/>
        <w:szCs w:val="20"/>
      </w:rPr>
    </w:lvl>
    <w:lvl w:ilvl="1" w:tplc="CE342A2E">
      <w:numFmt w:val="bullet"/>
      <w:lvlText w:val="•"/>
      <w:lvlJc w:val="left"/>
      <w:pPr>
        <w:ind w:left="1792" w:hanging="360"/>
      </w:pPr>
      <w:rPr>
        <w:rFonts w:hint="default"/>
      </w:rPr>
    </w:lvl>
    <w:lvl w:ilvl="2" w:tplc="8844FDC4">
      <w:numFmt w:val="bullet"/>
      <w:lvlText w:val="•"/>
      <w:lvlJc w:val="left"/>
      <w:pPr>
        <w:ind w:left="2724" w:hanging="360"/>
      </w:pPr>
      <w:rPr>
        <w:rFonts w:hint="default"/>
      </w:rPr>
    </w:lvl>
    <w:lvl w:ilvl="3" w:tplc="D06C3CE4">
      <w:numFmt w:val="bullet"/>
      <w:lvlText w:val="•"/>
      <w:lvlJc w:val="left"/>
      <w:pPr>
        <w:ind w:left="3656" w:hanging="360"/>
      </w:pPr>
      <w:rPr>
        <w:rFonts w:hint="default"/>
      </w:rPr>
    </w:lvl>
    <w:lvl w:ilvl="4" w:tplc="453A18CA">
      <w:numFmt w:val="bullet"/>
      <w:lvlText w:val="•"/>
      <w:lvlJc w:val="left"/>
      <w:pPr>
        <w:ind w:left="4588" w:hanging="360"/>
      </w:pPr>
      <w:rPr>
        <w:rFonts w:hint="default"/>
      </w:rPr>
    </w:lvl>
    <w:lvl w:ilvl="5" w:tplc="52D62EC6">
      <w:numFmt w:val="bullet"/>
      <w:lvlText w:val="•"/>
      <w:lvlJc w:val="left"/>
      <w:pPr>
        <w:ind w:left="5520" w:hanging="360"/>
      </w:pPr>
      <w:rPr>
        <w:rFonts w:hint="default"/>
      </w:rPr>
    </w:lvl>
    <w:lvl w:ilvl="6" w:tplc="CB4240A0">
      <w:numFmt w:val="bullet"/>
      <w:lvlText w:val="•"/>
      <w:lvlJc w:val="left"/>
      <w:pPr>
        <w:ind w:left="6452" w:hanging="360"/>
      </w:pPr>
      <w:rPr>
        <w:rFonts w:hint="default"/>
      </w:rPr>
    </w:lvl>
    <w:lvl w:ilvl="7" w:tplc="AE266142">
      <w:numFmt w:val="bullet"/>
      <w:lvlText w:val="•"/>
      <w:lvlJc w:val="left"/>
      <w:pPr>
        <w:ind w:left="7384" w:hanging="360"/>
      </w:pPr>
      <w:rPr>
        <w:rFonts w:hint="default"/>
      </w:rPr>
    </w:lvl>
    <w:lvl w:ilvl="8" w:tplc="7C32F7AA">
      <w:numFmt w:val="bullet"/>
      <w:lvlText w:val="•"/>
      <w:lvlJc w:val="left"/>
      <w:pPr>
        <w:ind w:left="8316" w:hanging="360"/>
      </w:pPr>
      <w:rPr>
        <w:rFonts w:hint="default"/>
      </w:rPr>
    </w:lvl>
  </w:abstractNum>
  <w:abstractNum w:abstractNumId="1" w15:restartNumberingAfterBreak="0">
    <w:nsid w:val="1D515524"/>
    <w:multiLevelType w:val="hybridMultilevel"/>
    <w:tmpl w:val="11A89D2E"/>
    <w:lvl w:ilvl="0" w:tplc="72BE69AE">
      <w:start w:val="1"/>
      <w:numFmt w:val="decimal"/>
      <w:lvlText w:val="%1."/>
      <w:lvlJc w:val="left"/>
      <w:pPr>
        <w:ind w:left="852" w:hanging="360"/>
        <w:jc w:val="left"/>
      </w:pPr>
      <w:rPr>
        <w:rFonts w:ascii="Arial" w:eastAsia="Arial" w:hAnsi="Arial" w:cs="Arial" w:hint="default"/>
        <w:spacing w:val="-1"/>
        <w:w w:val="100"/>
        <w:sz w:val="22"/>
        <w:szCs w:val="22"/>
      </w:rPr>
    </w:lvl>
    <w:lvl w:ilvl="1" w:tplc="AD38B380">
      <w:numFmt w:val="bullet"/>
      <w:lvlText w:val="•"/>
      <w:lvlJc w:val="left"/>
      <w:pPr>
        <w:ind w:left="1792" w:hanging="360"/>
      </w:pPr>
      <w:rPr>
        <w:rFonts w:hint="default"/>
      </w:rPr>
    </w:lvl>
    <w:lvl w:ilvl="2" w:tplc="B50E8EC0">
      <w:numFmt w:val="bullet"/>
      <w:lvlText w:val="•"/>
      <w:lvlJc w:val="left"/>
      <w:pPr>
        <w:ind w:left="2724" w:hanging="360"/>
      </w:pPr>
      <w:rPr>
        <w:rFonts w:hint="default"/>
      </w:rPr>
    </w:lvl>
    <w:lvl w:ilvl="3" w:tplc="EE803CC2">
      <w:numFmt w:val="bullet"/>
      <w:lvlText w:val="•"/>
      <w:lvlJc w:val="left"/>
      <w:pPr>
        <w:ind w:left="3656" w:hanging="360"/>
      </w:pPr>
      <w:rPr>
        <w:rFonts w:hint="default"/>
      </w:rPr>
    </w:lvl>
    <w:lvl w:ilvl="4" w:tplc="53F8A670">
      <w:numFmt w:val="bullet"/>
      <w:lvlText w:val="•"/>
      <w:lvlJc w:val="left"/>
      <w:pPr>
        <w:ind w:left="4588" w:hanging="360"/>
      </w:pPr>
      <w:rPr>
        <w:rFonts w:hint="default"/>
      </w:rPr>
    </w:lvl>
    <w:lvl w:ilvl="5" w:tplc="81425AFA">
      <w:numFmt w:val="bullet"/>
      <w:lvlText w:val="•"/>
      <w:lvlJc w:val="left"/>
      <w:pPr>
        <w:ind w:left="5520" w:hanging="360"/>
      </w:pPr>
      <w:rPr>
        <w:rFonts w:hint="default"/>
      </w:rPr>
    </w:lvl>
    <w:lvl w:ilvl="6" w:tplc="9EAC9C3E">
      <w:numFmt w:val="bullet"/>
      <w:lvlText w:val="•"/>
      <w:lvlJc w:val="left"/>
      <w:pPr>
        <w:ind w:left="6452" w:hanging="360"/>
      </w:pPr>
      <w:rPr>
        <w:rFonts w:hint="default"/>
      </w:rPr>
    </w:lvl>
    <w:lvl w:ilvl="7" w:tplc="883868A0">
      <w:numFmt w:val="bullet"/>
      <w:lvlText w:val="•"/>
      <w:lvlJc w:val="left"/>
      <w:pPr>
        <w:ind w:left="7384" w:hanging="360"/>
      </w:pPr>
      <w:rPr>
        <w:rFonts w:hint="default"/>
      </w:rPr>
    </w:lvl>
    <w:lvl w:ilvl="8" w:tplc="1E367434">
      <w:numFmt w:val="bullet"/>
      <w:lvlText w:val="•"/>
      <w:lvlJc w:val="left"/>
      <w:pPr>
        <w:ind w:left="8316" w:hanging="360"/>
      </w:pPr>
      <w:rPr>
        <w:rFonts w:hint="default"/>
      </w:rPr>
    </w:lvl>
  </w:abstractNum>
  <w:abstractNum w:abstractNumId="2" w15:restartNumberingAfterBreak="0">
    <w:nsid w:val="626C1989"/>
    <w:multiLevelType w:val="hybridMultilevel"/>
    <w:tmpl w:val="C4BC0DBA"/>
    <w:lvl w:ilvl="0" w:tplc="D938B456">
      <w:start w:val="1"/>
      <w:numFmt w:val="decimal"/>
      <w:lvlText w:val="%1."/>
      <w:lvlJc w:val="left"/>
      <w:pPr>
        <w:ind w:left="852" w:hanging="360"/>
        <w:jc w:val="left"/>
      </w:pPr>
      <w:rPr>
        <w:rFonts w:ascii="Arial" w:eastAsia="Arial" w:hAnsi="Arial" w:cs="Arial" w:hint="default"/>
        <w:spacing w:val="-1"/>
        <w:w w:val="100"/>
        <w:sz w:val="22"/>
        <w:szCs w:val="22"/>
      </w:rPr>
    </w:lvl>
    <w:lvl w:ilvl="1" w:tplc="EE107B7A">
      <w:start w:val="1"/>
      <w:numFmt w:val="lowerLetter"/>
      <w:lvlText w:val="%2."/>
      <w:lvlJc w:val="left"/>
      <w:pPr>
        <w:ind w:left="1572" w:hanging="360"/>
        <w:jc w:val="left"/>
      </w:pPr>
      <w:rPr>
        <w:rFonts w:ascii="Arial" w:eastAsia="Arial" w:hAnsi="Arial" w:cs="Arial" w:hint="default"/>
        <w:spacing w:val="-1"/>
        <w:w w:val="100"/>
        <w:sz w:val="22"/>
        <w:szCs w:val="22"/>
      </w:rPr>
    </w:lvl>
    <w:lvl w:ilvl="2" w:tplc="59BE3198">
      <w:numFmt w:val="bullet"/>
      <w:lvlText w:val="•"/>
      <w:lvlJc w:val="left"/>
      <w:pPr>
        <w:ind w:left="2535" w:hanging="360"/>
      </w:pPr>
      <w:rPr>
        <w:rFonts w:hint="default"/>
      </w:rPr>
    </w:lvl>
    <w:lvl w:ilvl="3" w:tplc="F2182FC0">
      <w:numFmt w:val="bullet"/>
      <w:lvlText w:val="•"/>
      <w:lvlJc w:val="left"/>
      <w:pPr>
        <w:ind w:left="3491" w:hanging="360"/>
      </w:pPr>
      <w:rPr>
        <w:rFonts w:hint="default"/>
      </w:rPr>
    </w:lvl>
    <w:lvl w:ilvl="4" w:tplc="66B6BEBE">
      <w:numFmt w:val="bullet"/>
      <w:lvlText w:val="•"/>
      <w:lvlJc w:val="left"/>
      <w:pPr>
        <w:ind w:left="4446" w:hanging="360"/>
      </w:pPr>
      <w:rPr>
        <w:rFonts w:hint="default"/>
      </w:rPr>
    </w:lvl>
    <w:lvl w:ilvl="5" w:tplc="F93C35FC">
      <w:numFmt w:val="bullet"/>
      <w:lvlText w:val="•"/>
      <w:lvlJc w:val="left"/>
      <w:pPr>
        <w:ind w:left="5402" w:hanging="360"/>
      </w:pPr>
      <w:rPr>
        <w:rFonts w:hint="default"/>
      </w:rPr>
    </w:lvl>
    <w:lvl w:ilvl="6" w:tplc="84701F2A">
      <w:numFmt w:val="bullet"/>
      <w:lvlText w:val="•"/>
      <w:lvlJc w:val="left"/>
      <w:pPr>
        <w:ind w:left="6357" w:hanging="360"/>
      </w:pPr>
      <w:rPr>
        <w:rFonts w:hint="default"/>
      </w:rPr>
    </w:lvl>
    <w:lvl w:ilvl="7" w:tplc="17E4CBAE">
      <w:numFmt w:val="bullet"/>
      <w:lvlText w:val="•"/>
      <w:lvlJc w:val="left"/>
      <w:pPr>
        <w:ind w:left="7313" w:hanging="360"/>
      </w:pPr>
      <w:rPr>
        <w:rFonts w:hint="default"/>
      </w:rPr>
    </w:lvl>
    <w:lvl w:ilvl="8" w:tplc="61CE9488">
      <w:numFmt w:val="bullet"/>
      <w:lvlText w:val="•"/>
      <w:lvlJc w:val="left"/>
      <w:pPr>
        <w:ind w:left="8268" w:hanging="360"/>
      </w:pPr>
      <w:rPr>
        <w:rFonts w:hint="default"/>
      </w:rPr>
    </w:lvl>
  </w:abstractNum>
  <w:num w:numId="1" w16cid:durableId="1013992658">
    <w:abstractNumId w:val="1"/>
  </w:num>
  <w:num w:numId="2" w16cid:durableId="1086149451">
    <w:abstractNumId w:val="2"/>
  </w:num>
  <w:num w:numId="3" w16cid:durableId="1813982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92C86"/>
    <w:rsid w:val="001B71FE"/>
    <w:rsid w:val="0030273F"/>
    <w:rsid w:val="00467996"/>
    <w:rsid w:val="00592C86"/>
    <w:rsid w:val="00F4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1CC228"/>
  <w15:docId w15:val="{9CC54243-A123-4CF9-950C-C57CDFA7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2"/>
      <w:outlineLvl w:val="0"/>
    </w:pPr>
    <w:rPr>
      <w:rFonts w:ascii="Trebuchet MS" w:eastAsia="Trebuchet MS" w:hAnsi="Trebuchet MS" w:cs="Trebuchet MS"/>
      <w:sz w:val="24"/>
      <w:szCs w:val="24"/>
    </w:rPr>
  </w:style>
  <w:style w:type="paragraph" w:styleId="Heading2">
    <w:name w:val="heading 2"/>
    <w:basedOn w:val="Normal"/>
    <w:uiPriority w:val="9"/>
    <w:unhideWhenUsed/>
    <w:qFormat/>
    <w:pPr>
      <w:ind w:left="49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44" w:lineRule="exact"/>
      <w:ind w:left="85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au.edu/wu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u.edu/dentalhygiene"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nau.edu/nursin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1282</Words>
  <Characters>7314</Characters>
  <Application>Microsoft Office Word</Application>
  <DocSecurity>0</DocSecurity>
  <Lines>60</Lines>
  <Paragraphs>17</Paragraphs>
  <ScaleCrop>false</ScaleCrop>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Grisham</dc:creator>
  <cp:lastModifiedBy>Amy Carver</cp:lastModifiedBy>
  <cp:revision>3</cp:revision>
  <dcterms:created xsi:type="dcterms:W3CDTF">2024-12-24T09:07:00Z</dcterms:created>
  <dcterms:modified xsi:type="dcterms:W3CDTF">2024-12-24T16:08:00Z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for Microsoft 365</vt:lpwstr>
  </property>
  <property fmtid="{D5CDD505-2E9C-101B-9397-08002B2CF9AE}" pid="4" name="LastSaved">
    <vt:filetime>2024-12-24T00:00:00Z</vt:filetime>
  </property>
</Properties>
</file>